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92" w:rsidRDefault="00A32992" w:rsidP="000D61FF">
      <w:pPr>
        <w:spacing w:after="0" w:line="240" w:lineRule="auto"/>
        <w:contextualSpacing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Fact Sheet:</w:t>
      </w:r>
    </w:p>
    <w:p w:rsidR="00146BA1" w:rsidRPr="005D5967" w:rsidRDefault="000D61FF" w:rsidP="000D61FF">
      <w:pPr>
        <w:spacing w:after="0" w:line="240" w:lineRule="auto"/>
        <w:contextualSpacing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Multidisciplinary Science and Mu</w:t>
      </w:r>
      <w:r w:rsidR="00A32992">
        <w:rPr>
          <w:b/>
          <w:sz w:val="36"/>
          <w:u w:val="single"/>
        </w:rPr>
        <w:t>ltidisciplinary Studies</w:t>
      </w:r>
      <w:bookmarkStart w:id="0" w:name="_GoBack"/>
      <w:bookmarkEnd w:id="0"/>
    </w:p>
    <w:p w:rsidR="00610A2E" w:rsidRDefault="00610A2E" w:rsidP="00610A2E">
      <w:pPr>
        <w:spacing w:after="0" w:line="240" w:lineRule="auto"/>
        <w:contextualSpacing/>
        <w:rPr>
          <w:sz w:val="28"/>
          <w:u w:val="single"/>
        </w:rPr>
      </w:pPr>
    </w:p>
    <w:p w:rsidR="00870001" w:rsidRDefault="00870001" w:rsidP="00610A2E">
      <w:pPr>
        <w:spacing w:after="0" w:line="240" w:lineRule="auto"/>
        <w:contextualSpacing/>
        <w:rPr>
          <w:sz w:val="28"/>
          <w:u w:val="single"/>
        </w:rPr>
      </w:pPr>
    </w:p>
    <w:p w:rsidR="00905B7A" w:rsidRPr="00F65A2D" w:rsidRDefault="00610A2E" w:rsidP="00610A2E">
      <w:pPr>
        <w:spacing w:after="0" w:line="240" w:lineRule="auto"/>
        <w:contextualSpacing/>
        <w:rPr>
          <w:sz w:val="28"/>
          <w:u w:val="single"/>
        </w:rPr>
      </w:pPr>
      <w:r>
        <w:rPr>
          <w:sz w:val="28"/>
          <w:u w:val="single"/>
        </w:rPr>
        <w:t xml:space="preserve">What’s </w:t>
      </w:r>
      <w:proofErr w:type="gramStart"/>
      <w:r>
        <w:rPr>
          <w:sz w:val="28"/>
          <w:u w:val="single"/>
        </w:rPr>
        <w:t>Offered</w:t>
      </w:r>
      <w:proofErr w:type="gramEnd"/>
      <w:r>
        <w:rPr>
          <w:sz w:val="28"/>
          <w:u w:val="single"/>
        </w:rPr>
        <w:t>:</w:t>
      </w:r>
    </w:p>
    <w:p w:rsidR="00870001" w:rsidRDefault="00870001" w:rsidP="00610A2E">
      <w:pPr>
        <w:spacing w:after="0" w:line="240" w:lineRule="auto"/>
        <w:contextualSpacing/>
        <w:rPr>
          <w:b/>
          <w:sz w:val="24"/>
        </w:rPr>
      </w:pPr>
    </w:p>
    <w:p w:rsidR="00610A2E" w:rsidRDefault="00610A2E" w:rsidP="00610A2E">
      <w:pPr>
        <w:spacing w:after="0" w:line="240" w:lineRule="auto"/>
        <w:contextualSpacing/>
        <w:rPr>
          <w:b/>
          <w:sz w:val="24"/>
        </w:rPr>
      </w:pPr>
      <w:r>
        <w:rPr>
          <w:b/>
          <w:sz w:val="24"/>
        </w:rPr>
        <w:t>College of Science</w:t>
      </w:r>
      <w:r w:rsidR="00A474AF">
        <w:rPr>
          <w:b/>
          <w:sz w:val="24"/>
        </w:rPr>
        <w:t>s</w:t>
      </w:r>
      <w:r w:rsidR="00905B7A">
        <w:rPr>
          <w:b/>
          <w:sz w:val="24"/>
        </w:rPr>
        <w:t xml:space="preserve"> (COS):</w:t>
      </w:r>
    </w:p>
    <w:p w:rsidR="00610A2E" w:rsidRDefault="00610A2E" w:rsidP="000D61FF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Bachelor of Science in </w:t>
      </w:r>
      <w:r w:rsidR="000D61FF">
        <w:rPr>
          <w:sz w:val="24"/>
        </w:rPr>
        <w:t>Multidisciplinary Science (MDS)</w:t>
      </w:r>
    </w:p>
    <w:p w:rsidR="006D1F22" w:rsidRPr="0088211A" w:rsidRDefault="006D1F22" w:rsidP="006D1F22">
      <w:pPr>
        <w:spacing w:after="0" w:line="240" w:lineRule="auto"/>
        <w:ind w:left="720"/>
        <w:contextualSpacing/>
        <w:rPr>
          <w:i/>
          <w:sz w:val="24"/>
        </w:rPr>
      </w:pPr>
      <w:r w:rsidRPr="002440F6">
        <w:rPr>
          <w:sz w:val="24"/>
        </w:rPr>
        <w:t xml:space="preserve">Multidisciplinary Science is designed for future scientists or secondary science teachers, and gives students broad </w:t>
      </w:r>
      <w:r>
        <w:rPr>
          <w:sz w:val="24"/>
        </w:rPr>
        <w:t xml:space="preserve">interdisciplinary </w:t>
      </w:r>
      <w:r w:rsidRPr="002440F6">
        <w:rPr>
          <w:sz w:val="24"/>
        </w:rPr>
        <w:t>tr</w:t>
      </w:r>
      <w:r>
        <w:rPr>
          <w:sz w:val="24"/>
        </w:rPr>
        <w:t>aining across the sciences. Students interested in the research/scientist path should pursue a Concentration in a single science field (physics, geology, chemistry, etc.) Students should follow the Composite S</w:t>
      </w:r>
      <w:r w:rsidRPr="002440F6">
        <w:rPr>
          <w:sz w:val="24"/>
        </w:rPr>
        <w:t>cienc</w:t>
      </w:r>
      <w:r>
        <w:rPr>
          <w:sz w:val="24"/>
        </w:rPr>
        <w:t>e Certification</w:t>
      </w:r>
      <w:r w:rsidRPr="002440F6">
        <w:rPr>
          <w:sz w:val="24"/>
        </w:rPr>
        <w:t xml:space="preserve"> </w:t>
      </w:r>
      <w:r>
        <w:rPr>
          <w:sz w:val="24"/>
        </w:rPr>
        <w:t>if planning a</w:t>
      </w:r>
      <w:r w:rsidRPr="002440F6">
        <w:rPr>
          <w:sz w:val="24"/>
        </w:rPr>
        <w:t xml:space="preserve"> career in teac</w:t>
      </w:r>
      <w:r>
        <w:rPr>
          <w:sz w:val="24"/>
        </w:rPr>
        <w:t>hing secondary school science</w:t>
      </w:r>
      <w:r w:rsidRPr="002440F6">
        <w:rPr>
          <w:sz w:val="24"/>
        </w:rPr>
        <w:t xml:space="preserve">. </w:t>
      </w:r>
      <w:r w:rsidRPr="00D066C9">
        <w:rPr>
          <w:i/>
          <w:sz w:val="24"/>
        </w:rPr>
        <w:t xml:space="preserve">(Undergraduates seeking </w:t>
      </w:r>
      <w:r w:rsidRPr="00D066C9">
        <w:rPr>
          <w:i/>
          <w:sz w:val="24"/>
          <w:u w:val="single"/>
        </w:rPr>
        <w:t>elementary</w:t>
      </w:r>
      <w:r w:rsidRPr="00771004">
        <w:rPr>
          <w:i/>
          <w:sz w:val="24"/>
        </w:rPr>
        <w:t xml:space="preserve"> </w:t>
      </w:r>
      <w:r w:rsidRPr="00D066C9">
        <w:rPr>
          <w:i/>
          <w:sz w:val="24"/>
        </w:rPr>
        <w:t>teacher certification must complete the COEHD I</w:t>
      </w:r>
      <w:r>
        <w:rPr>
          <w:i/>
          <w:sz w:val="24"/>
        </w:rPr>
        <w:t>nterdisciplinary Studies degree – MDS is not appropriate in this context.</w:t>
      </w:r>
      <w:r w:rsidRPr="00D066C9">
        <w:rPr>
          <w:i/>
          <w:sz w:val="24"/>
        </w:rPr>
        <w:t>)</w:t>
      </w:r>
    </w:p>
    <w:p w:rsidR="00610A2E" w:rsidRDefault="00610A2E" w:rsidP="00610A2E">
      <w:pPr>
        <w:spacing w:after="0" w:line="240" w:lineRule="auto"/>
        <w:contextualSpacing/>
        <w:rPr>
          <w:b/>
          <w:sz w:val="24"/>
        </w:rPr>
      </w:pPr>
    </w:p>
    <w:p w:rsidR="0026330A" w:rsidRPr="0026330A" w:rsidRDefault="000D61FF" w:rsidP="00610A2E">
      <w:pPr>
        <w:spacing w:after="0" w:line="240" w:lineRule="auto"/>
        <w:contextualSpacing/>
        <w:rPr>
          <w:b/>
          <w:sz w:val="24"/>
        </w:rPr>
      </w:pPr>
      <w:r>
        <w:rPr>
          <w:b/>
          <w:sz w:val="24"/>
        </w:rPr>
        <w:t>University College</w:t>
      </w:r>
      <w:r w:rsidR="002440F6">
        <w:rPr>
          <w:b/>
          <w:sz w:val="24"/>
        </w:rPr>
        <w:t xml:space="preserve"> (UC):</w:t>
      </w:r>
    </w:p>
    <w:p w:rsidR="006D1F22" w:rsidRDefault="000D61FF" w:rsidP="006D1F22">
      <w:pPr>
        <w:spacing w:after="0" w:line="240" w:lineRule="auto"/>
        <w:contextualSpacing/>
        <w:rPr>
          <w:sz w:val="24"/>
        </w:rPr>
      </w:pPr>
      <w:r>
        <w:rPr>
          <w:sz w:val="24"/>
        </w:rPr>
        <w:t>Bachelor of Arts in Multidisciplinary Studies (MDST)</w:t>
      </w:r>
    </w:p>
    <w:p w:rsidR="002440F6" w:rsidRPr="005A46CB" w:rsidRDefault="001F785E" w:rsidP="006D1F22">
      <w:pPr>
        <w:spacing w:after="0" w:line="240" w:lineRule="auto"/>
        <w:ind w:left="720"/>
        <w:contextualSpacing/>
        <w:rPr>
          <w:i/>
          <w:sz w:val="28"/>
        </w:rPr>
      </w:pPr>
      <w:r w:rsidRPr="006D1F22">
        <w:rPr>
          <w:sz w:val="24"/>
        </w:rPr>
        <w:t xml:space="preserve">Multidisciplinary Studies </w:t>
      </w:r>
      <w:r w:rsidR="0043724A" w:rsidRPr="006D1F22">
        <w:rPr>
          <w:sz w:val="24"/>
        </w:rPr>
        <w:t>provides a vehicle to achieve baccalaureate degrees for students whose interests lie in multiple areas.</w:t>
      </w:r>
      <w:r w:rsidRPr="006D1F22">
        <w:rPr>
          <w:sz w:val="24"/>
        </w:rPr>
        <w:t xml:space="preserve"> Students</w:t>
      </w:r>
      <w:r w:rsidR="002440F6" w:rsidRPr="006D1F22">
        <w:rPr>
          <w:sz w:val="24"/>
        </w:rPr>
        <w:t xml:space="preserve"> complete the University Core Curriculum requirements and take a cohesive set of courses from three different disciplinary areas.</w:t>
      </w:r>
      <w:r w:rsidR="0043724A" w:rsidRPr="006D1F22">
        <w:rPr>
          <w:sz w:val="24"/>
        </w:rPr>
        <w:t xml:space="preserve"> This interdisciplinary approach </w:t>
      </w:r>
      <w:r w:rsidR="002440F6" w:rsidRPr="006D1F22">
        <w:rPr>
          <w:sz w:val="24"/>
        </w:rPr>
        <w:t>allow</w:t>
      </w:r>
      <w:r w:rsidR="0043724A" w:rsidRPr="006D1F22">
        <w:rPr>
          <w:sz w:val="24"/>
        </w:rPr>
        <w:t>s</w:t>
      </w:r>
      <w:r w:rsidR="002440F6" w:rsidRPr="006D1F22">
        <w:rPr>
          <w:sz w:val="24"/>
        </w:rPr>
        <w:t xml:space="preserve"> students the opportunity to acquire a well-</w:t>
      </w:r>
      <w:r w:rsidR="0043724A" w:rsidRPr="006D1F22">
        <w:rPr>
          <w:sz w:val="24"/>
        </w:rPr>
        <w:t>rounded educational background. The objectives</w:t>
      </w:r>
      <w:r w:rsidR="002440F6" w:rsidRPr="006D1F22">
        <w:rPr>
          <w:sz w:val="24"/>
        </w:rPr>
        <w:t xml:space="preserve"> are to develop students that have a solid foundation in the content material of</w:t>
      </w:r>
      <w:r w:rsidR="0043724A" w:rsidRPr="006D1F22">
        <w:rPr>
          <w:sz w:val="24"/>
        </w:rPr>
        <w:t xml:space="preserve"> three</w:t>
      </w:r>
      <w:r w:rsidR="002440F6" w:rsidRPr="006D1F22">
        <w:rPr>
          <w:sz w:val="24"/>
        </w:rPr>
        <w:t xml:space="preserve"> disciplines and are skilled in communication, critical thinking and analysis, investigating and solving problems, managing</w:t>
      </w:r>
      <w:r w:rsidR="0043724A" w:rsidRPr="006D1F22">
        <w:rPr>
          <w:sz w:val="24"/>
        </w:rPr>
        <w:t xml:space="preserve"> tasks, and relating to others.</w:t>
      </w:r>
      <w:r w:rsidR="005A46CB">
        <w:rPr>
          <w:sz w:val="24"/>
        </w:rPr>
        <w:t xml:space="preserve"> </w:t>
      </w:r>
      <w:r w:rsidR="005A46CB">
        <w:rPr>
          <w:i/>
          <w:sz w:val="24"/>
        </w:rPr>
        <w:t xml:space="preserve">(MDST is </w:t>
      </w:r>
      <w:r w:rsidR="005A46CB" w:rsidRPr="005A46CB">
        <w:rPr>
          <w:i/>
          <w:sz w:val="24"/>
          <w:u w:val="single"/>
        </w:rPr>
        <w:t>not</w:t>
      </w:r>
      <w:r w:rsidR="005A46CB">
        <w:rPr>
          <w:i/>
          <w:sz w:val="24"/>
        </w:rPr>
        <w:t xml:space="preserve"> a route to teacher certification at the undergraduate level, but can provide a good foundation to do teacher certification at the post-baccalaureate level.)</w:t>
      </w:r>
    </w:p>
    <w:p w:rsidR="006D1F22" w:rsidRDefault="006D1F22" w:rsidP="00610A2E">
      <w:pPr>
        <w:spacing w:after="0" w:line="240" w:lineRule="auto"/>
        <w:contextualSpacing/>
        <w:rPr>
          <w:sz w:val="28"/>
          <w:u w:val="single"/>
        </w:rPr>
      </w:pPr>
    </w:p>
    <w:p w:rsidR="00D62E5E" w:rsidRDefault="00D62E5E" w:rsidP="00610A2E">
      <w:pPr>
        <w:spacing w:after="0" w:line="240" w:lineRule="auto"/>
        <w:contextualSpacing/>
        <w:rPr>
          <w:sz w:val="28"/>
          <w:u w:val="single"/>
        </w:rPr>
      </w:pPr>
    </w:p>
    <w:p w:rsidR="00905B7A" w:rsidRDefault="0088211A" w:rsidP="00610A2E">
      <w:pPr>
        <w:spacing w:after="0" w:line="240" w:lineRule="auto"/>
        <w:contextualSpacing/>
        <w:rPr>
          <w:sz w:val="28"/>
          <w:u w:val="single"/>
        </w:rPr>
      </w:pPr>
      <w:r>
        <w:rPr>
          <w:sz w:val="28"/>
          <w:u w:val="single"/>
        </w:rPr>
        <w:t>Career Options:</w:t>
      </w:r>
    </w:p>
    <w:p w:rsidR="00D62E5E" w:rsidRDefault="00D62E5E" w:rsidP="00610A2E">
      <w:pPr>
        <w:spacing w:after="0" w:line="240" w:lineRule="auto"/>
        <w:contextualSpacing/>
        <w:rPr>
          <w:sz w:val="24"/>
        </w:rPr>
      </w:pPr>
    </w:p>
    <w:p w:rsidR="00925C61" w:rsidRPr="007D049C" w:rsidRDefault="00925C61" w:rsidP="00610A2E">
      <w:pPr>
        <w:spacing w:after="0" w:line="240" w:lineRule="auto"/>
        <w:contextualSpacing/>
        <w:rPr>
          <w:sz w:val="24"/>
        </w:rPr>
      </w:pPr>
      <w:r w:rsidRPr="007D049C">
        <w:rPr>
          <w:sz w:val="24"/>
        </w:rPr>
        <w:t xml:space="preserve">These degree programs offer students </w:t>
      </w:r>
      <w:r w:rsidR="00E2694F" w:rsidRPr="007D049C">
        <w:rPr>
          <w:sz w:val="24"/>
        </w:rPr>
        <w:t>the</w:t>
      </w:r>
      <w:r w:rsidRPr="007D049C">
        <w:rPr>
          <w:sz w:val="24"/>
        </w:rPr>
        <w:t xml:space="preserve"> opportunity to prepare for a</w:t>
      </w:r>
      <w:r w:rsidR="00DA66F9" w:rsidRPr="007D049C">
        <w:rPr>
          <w:sz w:val="24"/>
        </w:rPr>
        <w:t>dvanced graduate study and for a multitude of careers that will vary based on specialization.</w:t>
      </w:r>
      <w:r w:rsidR="00870001">
        <w:rPr>
          <w:sz w:val="24"/>
        </w:rPr>
        <w:t xml:space="preserve"> </w:t>
      </w:r>
      <w:r w:rsidR="00870001">
        <w:rPr>
          <w:i/>
        </w:rPr>
        <w:t xml:space="preserve">Positions </w:t>
      </w:r>
      <w:r w:rsidR="00D62E5E">
        <w:rPr>
          <w:i/>
        </w:rPr>
        <w:t xml:space="preserve">below range </w:t>
      </w:r>
      <w:r w:rsidR="00870001" w:rsidRPr="00870001">
        <w:rPr>
          <w:i/>
        </w:rPr>
        <w:t>entry-level to experienced.</w:t>
      </w:r>
    </w:p>
    <w:p w:rsidR="00870001" w:rsidRDefault="00870001" w:rsidP="00595F4E">
      <w:pPr>
        <w:spacing w:after="0" w:line="240" w:lineRule="auto"/>
        <w:contextualSpacing/>
        <w:rPr>
          <w:b/>
          <w:sz w:val="24"/>
        </w:rPr>
      </w:pPr>
    </w:p>
    <w:p w:rsidR="00595F4E" w:rsidRPr="00D4565E" w:rsidRDefault="007321AC" w:rsidP="00595F4E">
      <w:pPr>
        <w:spacing w:after="0" w:line="240" w:lineRule="auto"/>
        <w:contextualSpacing/>
        <w:rPr>
          <w:sz w:val="24"/>
        </w:rPr>
      </w:pPr>
      <w:r w:rsidRPr="00D4565E">
        <w:rPr>
          <w:b/>
          <w:sz w:val="24"/>
        </w:rPr>
        <w:t>COS –</w:t>
      </w:r>
      <w:r w:rsidR="00DA66F9" w:rsidRPr="00D4565E">
        <w:rPr>
          <w:b/>
          <w:sz w:val="24"/>
        </w:rPr>
        <w:t xml:space="preserve"> </w:t>
      </w:r>
      <w:r w:rsidR="00595F4E" w:rsidRPr="00D4565E">
        <w:rPr>
          <w:b/>
          <w:sz w:val="24"/>
        </w:rPr>
        <w:tab/>
      </w:r>
      <w:r w:rsidR="00DA66F9" w:rsidRPr="00D4565E">
        <w:rPr>
          <w:b/>
          <w:sz w:val="24"/>
        </w:rPr>
        <w:t>Multidisciplinary Science Job Titles:</w:t>
      </w:r>
      <w:r w:rsidR="00DA66F9" w:rsidRPr="00D4565E">
        <w:rPr>
          <w:sz w:val="24"/>
        </w:rPr>
        <w:t xml:space="preserve"> </w:t>
      </w:r>
      <w:r w:rsidR="00D02A59" w:rsidRPr="00D4565E">
        <w:rPr>
          <w:sz w:val="24"/>
        </w:rPr>
        <w:t xml:space="preserve">Academician/Professor, Research Area Specialist, Laboratory </w:t>
      </w:r>
    </w:p>
    <w:p w:rsidR="007321AC" w:rsidRPr="00D4565E" w:rsidRDefault="00D02A59" w:rsidP="00EC4AE2">
      <w:pPr>
        <w:spacing w:after="0" w:line="240" w:lineRule="auto"/>
        <w:ind w:left="720"/>
        <w:contextualSpacing/>
        <w:rPr>
          <w:sz w:val="24"/>
        </w:rPr>
      </w:pPr>
      <w:r w:rsidRPr="00D4565E">
        <w:rPr>
          <w:sz w:val="24"/>
        </w:rPr>
        <w:t xml:space="preserve">Technician, Associate Scientist; Natural Resource Specialist, Geoscience Technician, Data Scientist; Health Educator, Math Teacher (Algebra, Geometry, Calculus, Etc.), Science Teacher (Geology, Physics, Chemistry, Biology, Anatomy </w:t>
      </w:r>
      <w:r>
        <w:rPr>
          <w:sz w:val="24"/>
        </w:rPr>
        <w:t xml:space="preserve">&amp; </w:t>
      </w:r>
      <w:r w:rsidRPr="00D4565E">
        <w:rPr>
          <w:sz w:val="24"/>
        </w:rPr>
        <w:t>Physiology, Etc.)</w:t>
      </w:r>
    </w:p>
    <w:p w:rsidR="007321AC" w:rsidRPr="007321AC" w:rsidRDefault="007321AC" w:rsidP="00610A2E">
      <w:pPr>
        <w:spacing w:after="0" w:line="240" w:lineRule="auto"/>
        <w:contextualSpacing/>
        <w:rPr>
          <w:b/>
          <w:sz w:val="24"/>
          <w:highlight w:val="cyan"/>
        </w:rPr>
      </w:pPr>
    </w:p>
    <w:p w:rsidR="00D62E5E" w:rsidRDefault="003174D2" w:rsidP="00610A2E">
      <w:pPr>
        <w:spacing w:after="0" w:line="240" w:lineRule="auto"/>
        <w:contextualSpacing/>
        <w:rPr>
          <w:sz w:val="24"/>
        </w:rPr>
      </w:pPr>
      <w:r w:rsidRPr="007D049C">
        <w:rPr>
          <w:b/>
          <w:sz w:val="24"/>
        </w:rPr>
        <w:t>UC</w:t>
      </w:r>
      <w:r w:rsidR="007321AC" w:rsidRPr="007D049C">
        <w:rPr>
          <w:b/>
          <w:sz w:val="24"/>
        </w:rPr>
        <w:t xml:space="preserve"> –</w:t>
      </w:r>
      <w:r w:rsidR="00D4565E" w:rsidRPr="007D049C">
        <w:rPr>
          <w:b/>
          <w:sz w:val="24"/>
        </w:rPr>
        <w:t xml:space="preserve"> Multidisciplinary Studies Job Titles: </w:t>
      </w:r>
      <w:r w:rsidR="00D02A59" w:rsidRPr="007D049C">
        <w:rPr>
          <w:sz w:val="24"/>
        </w:rPr>
        <w:t xml:space="preserve">Marketing Specialist, Program Coordinator, Administrative </w:t>
      </w:r>
    </w:p>
    <w:p w:rsidR="0088211A" w:rsidRPr="007D049C" w:rsidRDefault="00D02A59" w:rsidP="00D62E5E">
      <w:pPr>
        <w:spacing w:after="0" w:line="240" w:lineRule="auto"/>
        <w:ind w:left="720"/>
        <w:contextualSpacing/>
        <w:rPr>
          <w:sz w:val="24"/>
        </w:rPr>
      </w:pPr>
      <w:r w:rsidRPr="007D049C">
        <w:rPr>
          <w:sz w:val="24"/>
        </w:rPr>
        <w:t>Assistant, Recruiting Specialist, Career Counselor</w:t>
      </w:r>
      <w:r w:rsidR="007D049C" w:rsidRPr="007D049C">
        <w:rPr>
          <w:sz w:val="24"/>
        </w:rPr>
        <w:t xml:space="preserve">, Data Entry Clerk, Customer Service Representative, Youth Prevention Specialist, Leasing Associate, </w:t>
      </w:r>
      <w:r w:rsidR="00870001">
        <w:rPr>
          <w:sz w:val="24"/>
        </w:rPr>
        <w:t xml:space="preserve">Project Manager, </w:t>
      </w:r>
      <w:r w:rsidR="007D049C" w:rsidRPr="007D049C">
        <w:rPr>
          <w:sz w:val="24"/>
        </w:rPr>
        <w:t>Retail Sales Supervisor, Health Care Appointment Scheduler, After School Counselor, Community Manager, Wildlife Specialist, Dispatcher, Shipping and Distribution Associate, Production Team Member, Event Security, Electronic Field Technician, Merchandiser, Restaurant Manager</w:t>
      </w:r>
    </w:p>
    <w:p w:rsidR="0088211A" w:rsidRDefault="0088211A" w:rsidP="00610A2E">
      <w:pPr>
        <w:spacing w:after="0" w:line="240" w:lineRule="auto"/>
        <w:contextualSpacing/>
        <w:rPr>
          <w:b/>
          <w:sz w:val="24"/>
        </w:rPr>
      </w:pPr>
    </w:p>
    <w:p w:rsidR="0088211A" w:rsidRDefault="0088211A" w:rsidP="00610A2E">
      <w:pPr>
        <w:spacing w:after="0" w:line="240" w:lineRule="auto"/>
        <w:contextualSpacing/>
        <w:rPr>
          <w:b/>
          <w:sz w:val="24"/>
        </w:rPr>
      </w:pPr>
    </w:p>
    <w:p w:rsidR="0043724A" w:rsidRDefault="0043724A" w:rsidP="00610A2E">
      <w:pPr>
        <w:spacing w:after="0" w:line="240" w:lineRule="auto"/>
        <w:contextualSpacing/>
        <w:rPr>
          <w:sz w:val="28"/>
          <w:u w:val="single"/>
        </w:rPr>
      </w:pPr>
    </w:p>
    <w:p w:rsidR="00905B7A" w:rsidRPr="00F65A2D" w:rsidRDefault="00610A2E" w:rsidP="00610A2E">
      <w:pPr>
        <w:spacing w:after="0" w:line="240" w:lineRule="auto"/>
        <w:contextualSpacing/>
        <w:rPr>
          <w:sz w:val="28"/>
          <w:u w:val="single"/>
        </w:rPr>
      </w:pPr>
      <w:r>
        <w:rPr>
          <w:sz w:val="28"/>
          <w:u w:val="single"/>
        </w:rPr>
        <w:t>Degree Plans:</w:t>
      </w:r>
      <w:r w:rsidR="0088211A">
        <w:rPr>
          <w:sz w:val="28"/>
        </w:rPr>
        <w:t xml:space="preserve"> </w:t>
      </w:r>
    </w:p>
    <w:p w:rsidR="00905B7A" w:rsidRPr="00D4565E" w:rsidRDefault="00905B7A" w:rsidP="00610A2E">
      <w:pPr>
        <w:spacing w:after="0" w:line="240" w:lineRule="auto"/>
        <w:contextualSpacing/>
        <w:rPr>
          <w:sz w:val="24"/>
        </w:rPr>
      </w:pPr>
    </w:p>
    <w:p w:rsidR="00020DCF" w:rsidRPr="00D4565E" w:rsidRDefault="00020DCF" w:rsidP="007321AC">
      <w:pPr>
        <w:spacing w:after="0" w:line="240" w:lineRule="auto"/>
        <w:contextualSpacing/>
        <w:jc w:val="center"/>
        <w:rPr>
          <w:b/>
          <w:sz w:val="28"/>
        </w:rPr>
      </w:pPr>
      <w:r w:rsidRPr="00D4565E">
        <w:rPr>
          <w:b/>
          <w:sz w:val="28"/>
        </w:rPr>
        <w:t xml:space="preserve">COS – </w:t>
      </w:r>
      <w:r w:rsidR="007321AC" w:rsidRPr="00D4565E">
        <w:rPr>
          <w:b/>
          <w:sz w:val="28"/>
        </w:rPr>
        <w:t>Multidisciplinary Science</w:t>
      </w:r>
    </w:p>
    <w:p w:rsidR="00C37EA8" w:rsidRPr="00613872" w:rsidRDefault="00C37EA8" w:rsidP="007321AC">
      <w:pPr>
        <w:spacing w:after="0" w:line="240" w:lineRule="auto"/>
        <w:contextualSpacing/>
        <w:jc w:val="center"/>
      </w:pPr>
      <w:r w:rsidRPr="00613872">
        <w:rPr>
          <w:b/>
        </w:rPr>
        <w:t>*Gateway Courses</w:t>
      </w:r>
      <w:r w:rsidRPr="00613872">
        <w:t>, (C- grade or better).</w:t>
      </w:r>
    </w:p>
    <w:p w:rsidR="00C37EA8" w:rsidRPr="00610A2E" w:rsidRDefault="00C37EA8" w:rsidP="007321AC">
      <w:pPr>
        <w:spacing w:after="0" w:line="240" w:lineRule="auto"/>
        <w:contextualSpacing/>
        <w:jc w:val="center"/>
        <w:rPr>
          <w:sz w:val="24"/>
        </w:rPr>
      </w:pPr>
    </w:p>
    <w:tbl>
      <w:tblPr>
        <w:tblStyle w:val="TableGrid"/>
        <w:tblW w:w="10980" w:type="dxa"/>
        <w:tblInd w:w="-185" w:type="dxa"/>
        <w:tblLook w:val="04A0" w:firstRow="1" w:lastRow="0" w:firstColumn="1" w:lastColumn="0" w:noHBand="0" w:noVBand="1"/>
      </w:tblPr>
      <w:tblGrid>
        <w:gridCol w:w="5760"/>
        <w:gridCol w:w="5220"/>
      </w:tblGrid>
      <w:tr w:rsidR="00277B90" w:rsidTr="009563FC">
        <w:tc>
          <w:tcPr>
            <w:tcW w:w="5760" w:type="dxa"/>
          </w:tcPr>
          <w:p w:rsidR="00277B90" w:rsidRPr="00F65A2D" w:rsidRDefault="00277B90" w:rsidP="00610A2E">
            <w:pPr>
              <w:contextualSpacing/>
            </w:pPr>
            <w:r>
              <w:t>Introduction to Astronomy – AST 1013</w:t>
            </w:r>
          </w:p>
        </w:tc>
        <w:tc>
          <w:tcPr>
            <w:tcW w:w="5220" w:type="dxa"/>
          </w:tcPr>
          <w:p w:rsidR="00277B90" w:rsidRPr="009563FC" w:rsidRDefault="009563FC" w:rsidP="00610A2E">
            <w:pPr>
              <w:contextualSpacing/>
            </w:pPr>
            <w:r>
              <w:t>Current Research Topics in Physics – PHY 3003</w:t>
            </w:r>
          </w:p>
        </w:tc>
      </w:tr>
      <w:tr w:rsidR="00277B90" w:rsidTr="009563FC">
        <w:tc>
          <w:tcPr>
            <w:tcW w:w="5760" w:type="dxa"/>
          </w:tcPr>
          <w:p w:rsidR="00277B90" w:rsidRPr="00266910" w:rsidRDefault="00277B90" w:rsidP="00610A2E">
            <w:pPr>
              <w:contextualSpacing/>
            </w:pPr>
            <w:r>
              <w:t>Biosciences I – BIO 1404</w:t>
            </w:r>
          </w:p>
        </w:tc>
        <w:tc>
          <w:tcPr>
            <w:tcW w:w="5220" w:type="dxa"/>
          </w:tcPr>
          <w:p w:rsidR="00277B90" w:rsidRDefault="009563FC" w:rsidP="00610A2E">
            <w:pPr>
              <w:contextualSpacing/>
            </w:pPr>
            <w:r>
              <w:t>Basic Statistics – STA 1053</w:t>
            </w:r>
          </w:p>
        </w:tc>
      </w:tr>
      <w:tr w:rsidR="00277B90" w:rsidTr="009563FC">
        <w:tc>
          <w:tcPr>
            <w:tcW w:w="5760" w:type="dxa"/>
          </w:tcPr>
          <w:p w:rsidR="00277B90" w:rsidRPr="00266910" w:rsidRDefault="00277B90" w:rsidP="00610A2E">
            <w:pPr>
              <w:contextualSpacing/>
            </w:pPr>
            <w:r>
              <w:rPr>
                <w:b/>
              </w:rPr>
              <w:t xml:space="preserve">*Biosciences II – </w:t>
            </w:r>
            <w:r>
              <w:t>BIO 1414</w:t>
            </w:r>
          </w:p>
        </w:tc>
        <w:tc>
          <w:tcPr>
            <w:tcW w:w="5220" w:type="dxa"/>
          </w:tcPr>
          <w:p w:rsidR="00277B90" w:rsidRDefault="00277B90" w:rsidP="00610A2E">
            <w:pPr>
              <w:contextualSpacing/>
              <w:rPr>
                <w:b/>
              </w:rPr>
            </w:pPr>
          </w:p>
        </w:tc>
      </w:tr>
      <w:tr w:rsidR="00277B90" w:rsidTr="009563FC">
        <w:tc>
          <w:tcPr>
            <w:tcW w:w="5760" w:type="dxa"/>
          </w:tcPr>
          <w:p w:rsidR="00277B90" w:rsidRPr="00F65A2D" w:rsidRDefault="00277B90" w:rsidP="00610A2E">
            <w:pPr>
              <w:contextualSpacing/>
            </w:pPr>
            <w:r>
              <w:t>Genetics – BIO 2313</w:t>
            </w:r>
          </w:p>
        </w:tc>
        <w:tc>
          <w:tcPr>
            <w:tcW w:w="5220" w:type="dxa"/>
          </w:tcPr>
          <w:p w:rsidR="00277B90" w:rsidRPr="003C7362" w:rsidRDefault="009563FC" w:rsidP="00610A2E">
            <w:pPr>
              <w:contextualSpacing/>
            </w:pPr>
            <w:r w:rsidRPr="00C55C64">
              <w:rPr>
                <w:b/>
                <w:u w:val="single"/>
              </w:rPr>
              <w:t>Concentration</w:t>
            </w:r>
            <w:r>
              <w:t xml:space="preserve"> (research/scientist path):</w:t>
            </w:r>
          </w:p>
        </w:tc>
      </w:tr>
      <w:tr w:rsidR="00277B90" w:rsidTr="009563FC">
        <w:tc>
          <w:tcPr>
            <w:tcW w:w="5760" w:type="dxa"/>
          </w:tcPr>
          <w:p w:rsidR="00277B90" w:rsidRPr="00F65A2D" w:rsidRDefault="00277B90" w:rsidP="00610A2E">
            <w:pPr>
              <w:contextualSpacing/>
            </w:pPr>
            <w:r>
              <w:t>Principles of Ecology (w/ lab)– BIO 3283/</w:t>
            </w:r>
            <w:r w:rsidR="009563FC">
              <w:t>32</w:t>
            </w:r>
            <w:r>
              <w:t>92</w:t>
            </w:r>
          </w:p>
        </w:tc>
        <w:tc>
          <w:tcPr>
            <w:tcW w:w="5220" w:type="dxa"/>
          </w:tcPr>
          <w:p w:rsidR="00277B90" w:rsidRDefault="009563FC" w:rsidP="00D4565E">
            <w:pPr>
              <w:contextualSpacing/>
            </w:pPr>
            <w:r>
              <w:t>Select 21 semester credit-hours of approved electives in biology, chemistry, environmental science, geology, mathematics, and/or physics</w:t>
            </w:r>
          </w:p>
        </w:tc>
      </w:tr>
      <w:tr w:rsidR="00277B90" w:rsidTr="009563FC">
        <w:tc>
          <w:tcPr>
            <w:tcW w:w="5760" w:type="dxa"/>
          </w:tcPr>
          <w:p w:rsidR="00277B90" w:rsidRPr="00F65A2D" w:rsidRDefault="00277B90" w:rsidP="00610A2E">
            <w:pPr>
              <w:contextualSpacing/>
            </w:pPr>
            <w:r>
              <w:t>Evolution – BIO 3323</w:t>
            </w:r>
          </w:p>
        </w:tc>
        <w:tc>
          <w:tcPr>
            <w:tcW w:w="5220" w:type="dxa"/>
          </w:tcPr>
          <w:p w:rsidR="00277B90" w:rsidRDefault="00277B90" w:rsidP="00610A2E">
            <w:pPr>
              <w:contextualSpacing/>
            </w:pP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Advanced Physiology – BIO 3413</w:t>
            </w:r>
          </w:p>
        </w:tc>
        <w:tc>
          <w:tcPr>
            <w:tcW w:w="5220" w:type="dxa"/>
          </w:tcPr>
          <w:p w:rsidR="009563FC" w:rsidRPr="003C7362" w:rsidRDefault="009563FC" w:rsidP="009563FC">
            <w:pPr>
              <w:contextualSpacing/>
            </w:pPr>
            <w:r w:rsidRPr="00C55C64">
              <w:rPr>
                <w:b/>
                <w:u w:val="single"/>
              </w:rPr>
              <w:t>Composite Science Certification</w:t>
            </w:r>
            <w:r>
              <w:t xml:space="preserve"> (teaching):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General Chemistry I (w/ lab) – CHE 1103/1121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Models of Teaching in Content Areas – C&amp;I 4203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General Chemistry II (w/ lab)– CHE 1113/1131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Student Teaching: Grades 8-12 – C&amp;I 4646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Analytical Chemistry – CHE 3214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Learning/</w:t>
            </w:r>
            <w:proofErr w:type="spellStart"/>
            <w:r>
              <w:t>Dvpmt</w:t>
            </w:r>
            <w:proofErr w:type="spellEnd"/>
            <w:r>
              <w:t xml:space="preserve">. in Secondary School </w:t>
            </w:r>
            <w:proofErr w:type="spellStart"/>
            <w:r>
              <w:t>Adol</w:t>
            </w:r>
            <w:proofErr w:type="spellEnd"/>
            <w:r>
              <w:t>. – EDP 3203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Physical Geology (w/ lab) – GEO 1103/1111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Assessment and Evaluation – EDP 4203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Rocks, Fossils, and Global Tectonics – GEO 3004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GEEMS Mathematics/Science I – GEM 1011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>
              <w:t>Oceanography – GEO 3163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GEEMS Mathematics/Science II – GEM 1021</w:t>
            </w:r>
          </w:p>
        </w:tc>
      </w:tr>
      <w:tr w:rsidR="009563FC" w:rsidTr="009563FC">
        <w:tc>
          <w:tcPr>
            <w:tcW w:w="5760" w:type="dxa"/>
          </w:tcPr>
          <w:p w:rsidR="009563FC" w:rsidRPr="00F65A2D" w:rsidRDefault="009563FC" w:rsidP="009563FC">
            <w:pPr>
              <w:contextualSpacing/>
            </w:pPr>
            <w:r w:rsidRPr="009A4E1F">
              <w:rPr>
                <w:b/>
              </w:rPr>
              <w:t>*</w:t>
            </w:r>
            <w:proofErr w:type="spellStart"/>
            <w:r w:rsidRPr="009A4E1F">
              <w:rPr>
                <w:b/>
              </w:rPr>
              <w:t>Precalculus</w:t>
            </w:r>
            <w:proofErr w:type="spellEnd"/>
            <w:r>
              <w:t xml:space="preserve"> – MAT 1093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GEEMS Mathematics/Science III – GEM 1031</w:t>
            </w:r>
          </w:p>
        </w:tc>
      </w:tr>
      <w:tr w:rsidR="009563FC" w:rsidTr="009563FC">
        <w:tc>
          <w:tcPr>
            <w:tcW w:w="5760" w:type="dxa"/>
          </w:tcPr>
          <w:p w:rsidR="009563FC" w:rsidRPr="00653459" w:rsidRDefault="009563FC" w:rsidP="009563FC">
            <w:pPr>
              <w:contextualSpacing/>
              <w:rPr>
                <w:i/>
                <w:u w:val="single"/>
              </w:rPr>
            </w:pPr>
            <w:r>
              <w:rPr>
                <w:i/>
                <w:u w:val="single"/>
              </w:rPr>
              <w:t>Select one of the following two options: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</w:pPr>
            <w:r>
              <w:t>Reading &amp; Writing Across Disciplines – RDG 3773</w:t>
            </w:r>
          </w:p>
        </w:tc>
      </w:tr>
      <w:tr w:rsidR="009563FC" w:rsidTr="009563FC">
        <w:tc>
          <w:tcPr>
            <w:tcW w:w="5760" w:type="dxa"/>
          </w:tcPr>
          <w:p w:rsidR="009563FC" w:rsidRDefault="009563FC" w:rsidP="009563FC">
            <w:pPr>
              <w:contextualSpacing/>
              <w:rPr>
                <w:i/>
              </w:rPr>
            </w:pPr>
            <w:r>
              <w:rPr>
                <w:i/>
              </w:rPr>
              <w:t>Option One:</w:t>
            </w:r>
          </w:p>
          <w:p w:rsidR="009563FC" w:rsidRDefault="009563FC" w:rsidP="009563FC">
            <w:pPr>
              <w:contextualSpacing/>
            </w:pPr>
            <w:r>
              <w:t xml:space="preserve">Algebra-based Physics I (w/ lab) – PHY 1603/1611; </w:t>
            </w:r>
          </w:p>
          <w:p w:rsidR="009563FC" w:rsidRPr="00653459" w:rsidRDefault="009563FC" w:rsidP="009563FC">
            <w:pPr>
              <w:contextualSpacing/>
            </w:pPr>
            <w:r>
              <w:t>Algebra-based Physics II (w/ lab) – PHY 1623/1631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  <w:rPr>
                <w:i/>
              </w:rPr>
            </w:pPr>
          </w:p>
        </w:tc>
      </w:tr>
      <w:tr w:rsidR="009563FC" w:rsidTr="009563FC">
        <w:tc>
          <w:tcPr>
            <w:tcW w:w="5760" w:type="dxa"/>
          </w:tcPr>
          <w:p w:rsidR="009563FC" w:rsidRDefault="009563FC" w:rsidP="009563FC">
            <w:pPr>
              <w:contextualSpacing/>
              <w:rPr>
                <w:i/>
              </w:rPr>
            </w:pPr>
            <w:r>
              <w:rPr>
                <w:i/>
              </w:rPr>
              <w:t>Option Two:</w:t>
            </w:r>
          </w:p>
          <w:p w:rsidR="009563FC" w:rsidRDefault="009563FC" w:rsidP="009563FC">
            <w:pPr>
              <w:contextualSpacing/>
            </w:pPr>
            <w:r>
              <w:t xml:space="preserve">Physics for Scientists &amp; Engineers I (w/ lab) – PHY 1943/1951;    </w:t>
            </w:r>
          </w:p>
          <w:p w:rsidR="009563FC" w:rsidRPr="00653459" w:rsidRDefault="009563FC" w:rsidP="009563FC">
            <w:pPr>
              <w:contextualSpacing/>
            </w:pPr>
            <w:r>
              <w:t>Physics for Scientists &amp; Engineers II (w/ lab) – PHY 1963/1971</w:t>
            </w:r>
          </w:p>
        </w:tc>
        <w:tc>
          <w:tcPr>
            <w:tcW w:w="5220" w:type="dxa"/>
          </w:tcPr>
          <w:p w:rsidR="009563FC" w:rsidRDefault="009563FC" w:rsidP="009563FC">
            <w:pPr>
              <w:contextualSpacing/>
              <w:rPr>
                <w:i/>
              </w:rPr>
            </w:pPr>
            <w:r w:rsidRPr="00D4565E">
              <w:rPr>
                <w:i/>
                <w:sz w:val="20"/>
              </w:rPr>
              <w:t>*if seeking MDS as pre</w:t>
            </w:r>
            <w:r>
              <w:rPr>
                <w:i/>
                <w:sz w:val="20"/>
              </w:rPr>
              <w:t xml:space="preserve">paration for a science </w:t>
            </w:r>
            <w:r w:rsidRPr="00D4565E">
              <w:rPr>
                <w:i/>
                <w:sz w:val="20"/>
              </w:rPr>
              <w:t>grad</w:t>
            </w:r>
            <w:r>
              <w:rPr>
                <w:i/>
                <w:sz w:val="20"/>
              </w:rPr>
              <w:t>uate program, closely follow</w:t>
            </w:r>
            <w:r w:rsidRPr="00D4565E">
              <w:rPr>
                <w:i/>
                <w:sz w:val="20"/>
              </w:rPr>
              <w:t xml:space="preserve"> degree requirements of the chosen s</w:t>
            </w:r>
            <w:r>
              <w:rPr>
                <w:i/>
                <w:sz w:val="20"/>
              </w:rPr>
              <w:t>cience, as those courses are</w:t>
            </w:r>
            <w:r w:rsidRPr="00D4565E">
              <w:rPr>
                <w:i/>
                <w:sz w:val="20"/>
              </w:rPr>
              <w:t xml:space="preserve"> likely to be required by the graduate schools.</w:t>
            </w:r>
          </w:p>
        </w:tc>
      </w:tr>
    </w:tbl>
    <w:p w:rsidR="008066C7" w:rsidRPr="00D4565E" w:rsidRDefault="008066C7" w:rsidP="008066C7">
      <w:pPr>
        <w:spacing w:after="0" w:line="240" w:lineRule="auto"/>
        <w:ind w:firstLine="720"/>
        <w:contextualSpacing/>
        <w:rPr>
          <w:b/>
          <w:sz w:val="24"/>
          <w:szCs w:val="24"/>
        </w:rPr>
      </w:pPr>
    </w:p>
    <w:p w:rsidR="00B81D59" w:rsidRPr="00D4565E" w:rsidRDefault="00B81D59" w:rsidP="008066C7">
      <w:pPr>
        <w:spacing w:after="0" w:line="240" w:lineRule="auto"/>
        <w:ind w:firstLine="720"/>
        <w:contextualSpacing/>
        <w:rPr>
          <w:b/>
          <w:sz w:val="24"/>
          <w:szCs w:val="24"/>
        </w:rPr>
      </w:pPr>
    </w:p>
    <w:p w:rsidR="00D4565E" w:rsidRPr="00D4565E" w:rsidRDefault="00D4565E" w:rsidP="008066C7">
      <w:pPr>
        <w:spacing w:after="0" w:line="240" w:lineRule="auto"/>
        <w:ind w:firstLine="720"/>
        <w:contextualSpacing/>
        <w:rPr>
          <w:b/>
          <w:sz w:val="24"/>
          <w:szCs w:val="24"/>
        </w:rPr>
      </w:pPr>
    </w:p>
    <w:p w:rsidR="006D561F" w:rsidRPr="00D4565E" w:rsidRDefault="00266910" w:rsidP="00266910">
      <w:pPr>
        <w:spacing w:after="0" w:line="240" w:lineRule="auto"/>
        <w:contextualSpacing/>
        <w:jc w:val="center"/>
        <w:rPr>
          <w:b/>
          <w:sz w:val="28"/>
        </w:rPr>
      </w:pPr>
      <w:r w:rsidRPr="00D4565E">
        <w:rPr>
          <w:b/>
          <w:sz w:val="28"/>
        </w:rPr>
        <w:t>UC – Multidisciplinary Studies</w:t>
      </w:r>
    </w:p>
    <w:p w:rsidR="00C37EA8" w:rsidRDefault="00C37EA8" w:rsidP="00266910">
      <w:pPr>
        <w:spacing w:after="0" w:line="240" w:lineRule="auto"/>
        <w:contextualSpacing/>
        <w:jc w:val="center"/>
        <w:rPr>
          <w:b/>
          <w:sz w:val="24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5580"/>
        <w:gridCol w:w="5310"/>
      </w:tblGrid>
      <w:tr w:rsidR="00912A65" w:rsidRPr="005701E1" w:rsidTr="00144DDD">
        <w:tc>
          <w:tcPr>
            <w:tcW w:w="5580" w:type="dxa"/>
          </w:tcPr>
          <w:p w:rsidR="00912A65" w:rsidRPr="00613872" w:rsidRDefault="00912A65" w:rsidP="00905B7A">
            <w:pPr>
              <w:contextualSpacing/>
              <w:rPr>
                <w:i/>
                <w:u w:val="single"/>
              </w:rPr>
            </w:pPr>
            <w:r w:rsidRPr="00B3284B">
              <w:rPr>
                <w:b/>
                <w:u w:val="single"/>
              </w:rPr>
              <w:t>Technology Requirement</w:t>
            </w:r>
            <w:r w:rsidRPr="00613872">
              <w:t xml:space="preserve"> – </w:t>
            </w:r>
            <w:r w:rsidRPr="00613872">
              <w:rPr>
                <w:i/>
                <w:sz w:val="20"/>
                <w:u w:val="single"/>
              </w:rPr>
              <w:t>Select one of the following:</w:t>
            </w:r>
          </w:p>
        </w:tc>
        <w:tc>
          <w:tcPr>
            <w:tcW w:w="5310" w:type="dxa"/>
          </w:tcPr>
          <w:p w:rsidR="00912A65" w:rsidRPr="00613872" w:rsidRDefault="00357885" w:rsidP="00357885">
            <w:pPr>
              <w:contextualSpacing/>
            </w:pPr>
            <w:r w:rsidRPr="00B3284B">
              <w:rPr>
                <w:b/>
                <w:u w:val="single"/>
              </w:rPr>
              <w:t>Fields of Study</w:t>
            </w:r>
            <w:r w:rsidRPr="00613872">
              <w:rPr>
                <w:b/>
              </w:rPr>
              <w:t xml:space="preserve"> – </w:t>
            </w:r>
            <w:r w:rsidRPr="00613872">
              <w:t>48 credit hours in 3 distinct disciplines</w:t>
            </w:r>
          </w:p>
        </w:tc>
      </w:tr>
      <w:tr w:rsidR="00912A65" w:rsidRPr="005701E1" w:rsidTr="00144DDD">
        <w:tc>
          <w:tcPr>
            <w:tcW w:w="5580" w:type="dxa"/>
          </w:tcPr>
          <w:p w:rsidR="00912A65" w:rsidRPr="00613872" w:rsidRDefault="00912A65" w:rsidP="00905B7A">
            <w:pPr>
              <w:contextualSpacing/>
            </w:pPr>
            <w:r w:rsidRPr="00613872">
              <w:t>Microcomputer Applications – CS 1033</w:t>
            </w:r>
          </w:p>
        </w:tc>
        <w:tc>
          <w:tcPr>
            <w:tcW w:w="5310" w:type="dxa"/>
          </w:tcPr>
          <w:p w:rsidR="00912A65" w:rsidRPr="00613872" w:rsidRDefault="00357885" w:rsidP="00905B7A">
            <w:pPr>
              <w:contextualSpacing/>
            </w:pPr>
            <w:r w:rsidRPr="00613872">
              <w:rPr>
                <w:i/>
              </w:rPr>
              <w:t>Focus Area One:</w:t>
            </w:r>
            <w:r w:rsidRPr="00613872">
              <w:t xml:space="preserve"> </w:t>
            </w:r>
            <w:r w:rsidR="00613872">
              <w:rPr>
                <w:sz w:val="20"/>
              </w:rPr>
              <w:t xml:space="preserve">18 </w:t>
            </w:r>
            <w:r w:rsidRPr="00613872">
              <w:rPr>
                <w:sz w:val="20"/>
              </w:rPr>
              <w:t xml:space="preserve">credit hours, at least 12 </w:t>
            </w:r>
            <w:r w:rsidR="00613872">
              <w:rPr>
                <w:sz w:val="20"/>
              </w:rPr>
              <w:t>upper-division</w:t>
            </w:r>
          </w:p>
        </w:tc>
      </w:tr>
      <w:tr w:rsidR="00912A65" w:rsidRPr="005701E1" w:rsidTr="00144DDD">
        <w:tc>
          <w:tcPr>
            <w:tcW w:w="5580" w:type="dxa"/>
            <w:shd w:val="clear" w:color="auto" w:fill="auto"/>
          </w:tcPr>
          <w:p w:rsidR="00912A65" w:rsidRPr="00613872" w:rsidRDefault="00912A65" w:rsidP="002518C9">
            <w:pPr>
              <w:contextualSpacing/>
              <w:rPr>
                <w:highlight w:val="green"/>
              </w:rPr>
            </w:pPr>
            <w:r w:rsidRPr="00613872">
              <w:t>Business Information Systems Fluency – IS 1403</w:t>
            </w:r>
          </w:p>
        </w:tc>
        <w:tc>
          <w:tcPr>
            <w:tcW w:w="5310" w:type="dxa"/>
          </w:tcPr>
          <w:p w:rsidR="00912A65" w:rsidRPr="00613872" w:rsidRDefault="00D70D5E" w:rsidP="002518C9">
            <w:pPr>
              <w:contextualSpacing/>
              <w:rPr>
                <w:highlight w:val="green"/>
              </w:rPr>
            </w:pPr>
            <w:r w:rsidRPr="00613872">
              <w:rPr>
                <w:i/>
              </w:rPr>
              <w:t>Focus Area Two:</w:t>
            </w:r>
            <w:r w:rsidRPr="00613872">
              <w:t xml:space="preserve"> </w:t>
            </w:r>
            <w:r w:rsidR="00613872">
              <w:rPr>
                <w:sz w:val="20"/>
              </w:rPr>
              <w:t>15 credit hours, at least 9 upper-division</w:t>
            </w:r>
          </w:p>
        </w:tc>
      </w:tr>
      <w:tr w:rsidR="00912A65" w:rsidRPr="005701E1" w:rsidTr="00144DDD">
        <w:tc>
          <w:tcPr>
            <w:tcW w:w="5580" w:type="dxa"/>
          </w:tcPr>
          <w:p w:rsidR="00912A65" w:rsidRPr="00613872" w:rsidRDefault="00912A65" w:rsidP="00905B7A">
            <w:pPr>
              <w:contextualSpacing/>
            </w:pPr>
          </w:p>
        </w:tc>
        <w:tc>
          <w:tcPr>
            <w:tcW w:w="5310" w:type="dxa"/>
          </w:tcPr>
          <w:p w:rsidR="00912A65" w:rsidRPr="00613872" w:rsidRDefault="00D70D5E" w:rsidP="00613872">
            <w:pPr>
              <w:contextualSpacing/>
            </w:pPr>
            <w:r w:rsidRPr="00613872">
              <w:rPr>
                <w:i/>
              </w:rPr>
              <w:t>Focus Area Three:</w:t>
            </w:r>
            <w:r w:rsidRPr="00613872">
              <w:t xml:space="preserve"> </w:t>
            </w:r>
            <w:r w:rsidR="00613872">
              <w:rPr>
                <w:sz w:val="20"/>
              </w:rPr>
              <w:t>15</w:t>
            </w:r>
            <w:r w:rsidRPr="00613872">
              <w:rPr>
                <w:sz w:val="20"/>
              </w:rPr>
              <w:t xml:space="preserve"> credit hours, at least 9 </w:t>
            </w:r>
            <w:r w:rsidR="00613872">
              <w:rPr>
                <w:sz w:val="20"/>
              </w:rPr>
              <w:t>upper-division</w:t>
            </w:r>
          </w:p>
        </w:tc>
      </w:tr>
      <w:tr w:rsidR="00912A65" w:rsidRPr="005701E1" w:rsidTr="00144DDD">
        <w:tc>
          <w:tcPr>
            <w:tcW w:w="5580" w:type="dxa"/>
          </w:tcPr>
          <w:p w:rsidR="00912A65" w:rsidRPr="00613872" w:rsidRDefault="00613872" w:rsidP="006B0F78">
            <w:pPr>
              <w:contextualSpacing/>
              <w:rPr>
                <w:i/>
                <w:highlight w:val="cyan"/>
                <w:u w:val="single"/>
              </w:rPr>
            </w:pPr>
            <w:r w:rsidRPr="00B3284B">
              <w:rPr>
                <w:b/>
                <w:u w:val="single"/>
              </w:rPr>
              <w:t>Communication</w:t>
            </w:r>
            <w:r w:rsidR="00912A65" w:rsidRPr="00B3284B">
              <w:rPr>
                <w:b/>
                <w:u w:val="single"/>
              </w:rPr>
              <w:t xml:space="preserve"> Requirement</w:t>
            </w:r>
            <w:r w:rsidR="00912A65" w:rsidRPr="00613872">
              <w:t xml:space="preserve"> – </w:t>
            </w:r>
            <w:r w:rsidR="00912A65" w:rsidRPr="00613872">
              <w:rPr>
                <w:i/>
                <w:sz w:val="20"/>
                <w:u w:val="single"/>
              </w:rPr>
              <w:t>Select one of the following:</w:t>
            </w:r>
          </w:p>
        </w:tc>
        <w:tc>
          <w:tcPr>
            <w:tcW w:w="5310" w:type="dxa"/>
          </w:tcPr>
          <w:p w:rsidR="00912A65" w:rsidRPr="00613872" w:rsidRDefault="00613872" w:rsidP="00144DDD">
            <w:pPr>
              <w:contextualSpacing/>
              <w:rPr>
                <w:i/>
                <w:highlight w:val="cyan"/>
              </w:rPr>
            </w:pPr>
            <w:r w:rsidRPr="00613872">
              <w:rPr>
                <w:i/>
                <w:sz w:val="20"/>
              </w:rPr>
              <w:t>*at le</w:t>
            </w:r>
            <w:r w:rsidR="00144DDD">
              <w:rPr>
                <w:i/>
                <w:sz w:val="20"/>
              </w:rPr>
              <w:t xml:space="preserve">ast one area must be </w:t>
            </w:r>
            <w:r w:rsidRPr="00613872">
              <w:rPr>
                <w:i/>
                <w:sz w:val="20"/>
              </w:rPr>
              <w:t xml:space="preserve">COLFA or COS; </w:t>
            </w:r>
            <w:r w:rsidR="00144DDD">
              <w:rPr>
                <w:i/>
                <w:sz w:val="20"/>
              </w:rPr>
              <w:t xml:space="preserve">only one can be </w:t>
            </w:r>
            <w:r w:rsidRPr="00613872">
              <w:rPr>
                <w:i/>
                <w:sz w:val="20"/>
              </w:rPr>
              <w:t>COB</w:t>
            </w:r>
          </w:p>
        </w:tc>
      </w:tr>
      <w:tr w:rsidR="00912A65" w:rsidRPr="005701E1" w:rsidTr="00144DDD">
        <w:tc>
          <w:tcPr>
            <w:tcW w:w="5580" w:type="dxa"/>
          </w:tcPr>
          <w:p w:rsidR="00912A65" w:rsidRPr="00613872" w:rsidRDefault="00912A65" w:rsidP="006B0F78">
            <w:pPr>
              <w:contextualSpacing/>
              <w:rPr>
                <w:highlight w:val="magenta"/>
              </w:rPr>
            </w:pPr>
            <w:r w:rsidRPr="00613872">
              <w:t>Introduction to Communication – COM 1043</w:t>
            </w:r>
          </w:p>
        </w:tc>
        <w:tc>
          <w:tcPr>
            <w:tcW w:w="5310" w:type="dxa"/>
          </w:tcPr>
          <w:p w:rsidR="00912A65" w:rsidRPr="00613872" w:rsidRDefault="00912A65" w:rsidP="006B0F78">
            <w:pPr>
              <w:contextualSpacing/>
              <w:rPr>
                <w:highlight w:val="magenta"/>
              </w:rPr>
            </w:pPr>
          </w:p>
        </w:tc>
      </w:tr>
      <w:tr w:rsidR="00912A65" w:rsidRPr="005701E1" w:rsidTr="00144DDD">
        <w:tc>
          <w:tcPr>
            <w:tcW w:w="5580" w:type="dxa"/>
          </w:tcPr>
          <w:p w:rsidR="00912A65" w:rsidRPr="00613872" w:rsidRDefault="00912A65" w:rsidP="006B0F78">
            <w:pPr>
              <w:contextualSpacing/>
            </w:pPr>
            <w:r w:rsidRPr="00613872">
              <w:t>Business and Professional Speech – COM 1053</w:t>
            </w:r>
          </w:p>
        </w:tc>
        <w:tc>
          <w:tcPr>
            <w:tcW w:w="5310" w:type="dxa"/>
          </w:tcPr>
          <w:p w:rsidR="00912A65" w:rsidRPr="00613872" w:rsidRDefault="00883661" w:rsidP="00883661">
            <w:pPr>
              <w:contextualSpacing/>
            </w:pPr>
            <w:r>
              <w:t>Sr.</w:t>
            </w:r>
            <w:r w:rsidR="00613872" w:rsidRPr="00613872">
              <w:t xml:space="preserve"> Seminar for Multidisciplinary Studies – MDS 4983</w:t>
            </w:r>
          </w:p>
        </w:tc>
      </w:tr>
      <w:tr w:rsidR="00912A65" w:rsidRPr="00F65A2D" w:rsidTr="00144DDD">
        <w:tc>
          <w:tcPr>
            <w:tcW w:w="5580" w:type="dxa"/>
            <w:shd w:val="clear" w:color="auto" w:fill="auto"/>
          </w:tcPr>
          <w:p w:rsidR="00912A65" w:rsidRPr="00613872" w:rsidRDefault="00912A65" w:rsidP="006B0F78">
            <w:pPr>
              <w:contextualSpacing/>
              <w:rPr>
                <w:highlight w:val="red"/>
              </w:rPr>
            </w:pPr>
            <w:r w:rsidRPr="00613872">
              <w:t>Public Speaking – COM 2113</w:t>
            </w:r>
          </w:p>
        </w:tc>
        <w:tc>
          <w:tcPr>
            <w:tcW w:w="5310" w:type="dxa"/>
          </w:tcPr>
          <w:p w:rsidR="00912A65" w:rsidRPr="00613872" w:rsidRDefault="00912A65" w:rsidP="006B0F78">
            <w:pPr>
              <w:contextualSpacing/>
              <w:rPr>
                <w:highlight w:val="red"/>
              </w:rPr>
            </w:pPr>
          </w:p>
        </w:tc>
      </w:tr>
      <w:tr w:rsidR="00912A65" w:rsidRPr="00F65A2D" w:rsidTr="00144DDD">
        <w:tc>
          <w:tcPr>
            <w:tcW w:w="5580" w:type="dxa"/>
            <w:shd w:val="clear" w:color="auto" w:fill="auto"/>
          </w:tcPr>
          <w:p w:rsidR="00912A65" w:rsidRPr="00613872" w:rsidRDefault="00912A65" w:rsidP="006B0F78">
            <w:pPr>
              <w:contextualSpacing/>
            </w:pPr>
            <w:r w:rsidRPr="00613872">
              <w:t>Technical Writing – ENG 2413</w:t>
            </w:r>
          </w:p>
        </w:tc>
        <w:tc>
          <w:tcPr>
            <w:tcW w:w="5310" w:type="dxa"/>
          </w:tcPr>
          <w:p w:rsidR="00912A65" w:rsidRPr="00613872" w:rsidRDefault="00613872" w:rsidP="006B0F78">
            <w:pPr>
              <w:contextualSpacing/>
              <w:rPr>
                <w:highlight w:val="red"/>
              </w:rPr>
            </w:pPr>
            <w:r w:rsidRPr="00613872">
              <w:t xml:space="preserve">Free Electives: </w:t>
            </w:r>
            <w:r w:rsidRPr="00613872">
              <w:rPr>
                <w:sz w:val="20"/>
              </w:rPr>
              <w:t>21 semester ho</w:t>
            </w:r>
            <w:r>
              <w:rPr>
                <w:sz w:val="20"/>
              </w:rPr>
              <w:t>urs, at least 6 upper-division</w:t>
            </w:r>
          </w:p>
        </w:tc>
      </w:tr>
    </w:tbl>
    <w:p w:rsidR="006D561F" w:rsidRPr="0026330A" w:rsidRDefault="006D561F" w:rsidP="00C37EA8">
      <w:pPr>
        <w:spacing w:after="0" w:line="240" w:lineRule="auto"/>
        <w:contextualSpacing/>
        <w:rPr>
          <w:sz w:val="24"/>
        </w:rPr>
      </w:pPr>
    </w:p>
    <w:sectPr w:rsidR="006D561F" w:rsidRPr="0026330A" w:rsidSect="00F43F8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D6"/>
    <w:rsid w:val="00011678"/>
    <w:rsid w:val="00020DCF"/>
    <w:rsid w:val="00046E7E"/>
    <w:rsid w:val="00056C10"/>
    <w:rsid w:val="000D61FF"/>
    <w:rsid w:val="000D7A66"/>
    <w:rsid w:val="00144DDD"/>
    <w:rsid w:val="00181B21"/>
    <w:rsid w:val="001B5E88"/>
    <w:rsid w:val="001F2C72"/>
    <w:rsid w:val="001F785E"/>
    <w:rsid w:val="00226DEF"/>
    <w:rsid w:val="0023296D"/>
    <w:rsid w:val="002440F6"/>
    <w:rsid w:val="002518C9"/>
    <w:rsid w:val="00252A6C"/>
    <w:rsid w:val="002556D0"/>
    <w:rsid w:val="0026330A"/>
    <w:rsid w:val="00266910"/>
    <w:rsid w:val="00277B90"/>
    <w:rsid w:val="00284ABE"/>
    <w:rsid w:val="002D3CDE"/>
    <w:rsid w:val="003174D2"/>
    <w:rsid w:val="00357885"/>
    <w:rsid w:val="003B716D"/>
    <w:rsid w:val="003C7362"/>
    <w:rsid w:val="00435F98"/>
    <w:rsid w:val="0043724A"/>
    <w:rsid w:val="004513D7"/>
    <w:rsid w:val="00464BA0"/>
    <w:rsid w:val="004B0C47"/>
    <w:rsid w:val="00503CC4"/>
    <w:rsid w:val="00524484"/>
    <w:rsid w:val="005701E1"/>
    <w:rsid w:val="00595F4E"/>
    <w:rsid w:val="005A46CB"/>
    <w:rsid w:val="005D3F9C"/>
    <w:rsid w:val="005D5967"/>
    <w:rsid w:val="00610A2E"/>
    <w:rsid w:val="00613872"/>
    <w:rsid w:val="0062218E"/>
    <w:rsid w:val="0062716D"/>
    <w:rsid w:val="00653459"/>
    <w:rsid w:val="006B0F78"/>
    <w:rsid w:val="006D1F22"/>
    <w:rsid w:val="006D4BD6"/>
    <w:rsid w:val="006D561F"/>
    <w:rsid w:val="006F7FB3"/>
    <w:rsid w:val="007321AC"/>
    <w:rsid w:val="00771004"/>
    <w:rsid w:val="007951E3"/>
    <w:rsid w:val="007C7B09"/>
    <w:rsid w:val="007D049C"/>
    <w:rsid w:val="007E6BE5"/>
    <w:rsid w:val="007F7783"/>
    <w:rsid w:val="008066C7"/>
    <w:rsid w:val="00854D7B"/>
    <w:rsid w:val="00857329"/>
    <w:rsid w:val="0085774A"/>
    <w:rsid w:val="00870001"/>
    <w:rsid w:val="0087581A"/>
    <w:rsid w:val="0088211A"/>
    <w:rsid w:val="00883661"/>
    <w:rsid w:val="008932A4"/>
    <w:rsid w:val="00905B7A"/>
    <w:rsid w:val="00912A65"/>
    <w:rsid w:val="0092536C"/>
    <w:rsid w:val="00925C61"/>
    <w:rsid w:val="009563FC"/>
    <w:rsid w:val="009A4E1F"/>
    <w:rsid w:val="009F70AE"/>
    <w:rsid w:val="00A32992"/>
    <w:rsid w:val="00A474AF"/>
    <w:rsid w:val="00A730E9"/>
    <w:rsid w:val="00AE743C"/>
    <w:rsid w:val="00B3284B"/>
    <w:rsid w:val="00B551E7"/>
    <w:rsid w:val="00B81D59"/>
    <w:rsid w:val="00BD1F33"/>
    <w:rsid w:val="00BE2C18"/>
    <w:rsid w:val="00BF0744"/>
    <w:rsid w:val="00C37EA8"/>
    <w:rsid w:val="00C45C67"/>
    <w:rsid w:val="00C4605A"/>
    <w:rsid w:val="00C55C64"/>
    <w:rsid w:val="00C86042"/>
    <w:rsid w:val="00C91D3A"/>
    <w:rsid w:val="00CD6BC3"/>
    <w:rsid w:val="00D02A59"/>
    <w:rsid w:val="00D066C9"/>
    <w:rsid w:val="00D3798B"/>
    <w:rsid w:val="00D420C0"/>
    <w:rsid w:val="00D4565E"/>
    <w:rsid w:val="00D62E5E"/>
    <w:rsid w:val="00D70D5E"/>
    <w:rsid w:val="00D9242E"/>
    <w:rsid w:val="00DA66F9"/>
    <w:rsid w:val="00DE53B3"/>
    <w:rsid w:val="00E2694F"/>
    <w:rsid w:val="00E755BA"/>
    <w:rsid w:val="00EC4AE2"/>
    <w:rsid w:val="00F43F85"/>
    <w:rsid w:val="00F6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263A-2172-47B3-AD27-9D81B683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7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1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4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7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6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ED89-3F02-4ECA-B95A-54E8E093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Hoffmann</dc:creator>
  <cp:keywords/>
  <dc:description/>
  <cp:lastModifiedBy>Lauren Hoffmann</cp:lastModifiedBy>
  <cp:revision>58</cp:revision>
  <dcterms:created xsi:type="dcterms:W3CDTF">2015-10-21T20:59:00Z</dcterms:created>
  <dcterms:modified xsi:type="dcterms:W3CDTF">2015-11-03T14:53:00Z</dcterms:modified>
</cp:coreProperties>
</file>