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DE6B47" w14:textId="696A2CC0" w:rsidR="00E74DEF" w:rsidRDefault="00E74DEF" w:rsidP="00E74DEF">
      <w:pPr>
        <w:spacing w:after="0" w:line="240" w:lineRule="auto"/>
      </w:pPr>
      <w:r>
        <w:t xml:space="preserve">Dear Colleagues, </w:t>
      </w:r>
    </w:p>
    <w:p w14:paraId="2943ABC6" w14:textId="77777777" w:rsidR="00E74DEF" w:rsidRDefault="00E74DEF" w:rsidP="00E74DEF">
      <w:pPr>
        <w:spacing w:after="0" w:line="240" w:lineRule="auto"/>
      </w:pPr>
    </w:p>
    <w:p w14:paraId="019756B0" w14:textId="12B3595E" w:rsidR="00E74DEF" w:rsidRDefault="00E74DEF" w:rsidP="00E74DEF">
      <w:pPr>
        <w:spacing w:after="0" w:line="240" w:lineRule="auto"/>
      </w:pPr>
      <w:r>
        <w:t xml:space="preserve">The following list of </w:t>
      </w:r>
      <w:r>
        <w:t xml:space="preserve">rapidly coming up </w:t>
      </w:r>
      <w:r>
        <w:t xml:space="preserve">funding opportunities </w:t>
      </w:r>
      <w:r>
        <w:t xml:space="preserve">in psychology, social justice, equity, diversity, and inclusion, humanities, and STEM </w:t>
      </w:r>
      <w:r>
        <w:t xml:space="preserve">are provided to COEHD faculty to </w:t>
      </w:r>
      <w:r>
        <w:t xml:space="preserve">review and </w:t>
      </w:r>
      <w:r>
        <w:t>pursue. Please contact me for any assistance in developing your proposal.</w:t>
      </w:r>
    </w:p>
    <w:p w14:paraId="25E541FB" w14:textId="2421A598" w:rsidR="00E74DEF" w:rsidRDefault="00E74DEF" w:rsidP="00E74DEF">
      <w:pPr>
        <w:spacing w:after="0" w:line="240" w:lineRule="auto"/>
      </w:pPr>
    </w:p>
    <w:p w14:paraId="39DA89D1" w14:textId="508DB858" w:rsidR="00E74DEF" w:rsidRDefault="00E74DEF" w:rsidP="00E74DEF">
      <w:pPr>
        <w:spacing w:after="0" w:line="240" w:lineRule="auto"/>
      </w:pPr>
      <w:r>
        <w:t>--Iwan</w:t>
      </w:r>
    </w:p>
    <w:p w14:paraId="0D37CBD8" w14:textId="77777777" w:rsidR="00E74DEF" w:rsidRDefault="00E74DEF" w:rsidP="00E74DEF">
      <w:pPr>
        <w:spacing w:after="0" w:line="240" w:lineRule="auto"/>
      </w:pPr>
    </w:p>
    <w:p w14:paraId="6720FBD2" w14:textId="77777777" w:rsidR="00E74DEF" w:rsidRPr="00671FB3" w:rsidRDefault="00E74DEF" w:rsidP="00E74DEF">
      <w:pPr>
        <w:tabs>
          <w:tab w:val="left" w:pos="360"/>
        </w:tabs>
        <w:spacing w:after="0" w:line="240" w:lineRule="auto"/>
        <w:rPr>
          <w:b/>
          <w:bCs/>
        </w:rPr>
      </w:pPr>
      <w:r w:rsidRPr="00671FB3">
        <w:rPr>
          <w:b/>
          <w:bCs/>
        </w:rPr>
        <w:t>Psychology</w:t>
      </w:r>
    </w:p>
    <w:p w14:paraId="7769911F" w14:textId="77777777" w:rsidR="00E74DEF" w:rsidRDefault="00E74DEF" w:rsidP="00E74DEF">
      <w:pPr>
        <w:tabs>
          <w:tab w:val="left" w:pos="360"/>
        </w:tabs>
        <w:spacing w:after="0" w:line="240" w:lineRule="auto"/>
        <w:rPr>
          <w:b/>
          <w:bCs/>
        </w:rPr>
      </w:pPr>
    </w:p>
    <w:p w14:paraId="27F15517" w14:textId="77777777" w:rsidR="00E74DEF" w:rsidRPr="00671FB3" w:rsidRDefault="00E74DEF" w:rsidP="00E74DEF">
      <w:pPr>
        <w:tabs>
          <w:tab w:val="left" w:pos="360"/>
        </w:tabs>
        <w:spacing w:after="0" w:line="240" w:lineRule="auto"/>
        <w:rPr>
          <w:i/>
          <w:iCs/>
        </w:rPr>
      </w:pPr>
      <w:r w:rsidRPr="00671FB3">
        <w:rPr>
          <w:b/>
          <w:bCs/>
        </w:rPr>
        <w:t>Department of Health and Human Services (DHHS) Health Resources and Services Administration (HRSA) Behavioral Health Workforce Education and Training (BHWET) Program for Professionals</w:t>
      </w:r>
      <w:r>
        <w:t xml:space="preserve"> due </w:t>
      </w:r>
      <w:r>
        <w:rPr>
          <w:i/>
          <w:iCs/>
        </w:rPr>
        <w:t>Jan. 21, 2021</w:t>
      </w:r>
    </w:p>
    <w:p w14:paraId="705A0C86" w14:textId="77777777" w:rsidR="00E74DEF" w:rsidRDefault="00E74DEF" w:rsidP="00E74DEF">
      <w:pPr>
        <w:tabs>
          <w:tab w:val="left" w:pos="360"/>
        </w:tabs>
        <w:spacing w:after="0" w:line="240" w:lineRule="auto"/>
      </w:pPr>
      <w:hyperlink r:id="rId5" w:history="1">
        <w:r w:rsidRPr="000A1255">
          <w:rPr>
            <w:rStyle w:val="Hyperlink"/>
          </w:rPr>
          <w:t>https://www.grants.gov/web/grants/view-opportunity.html?oppId=328444</w:t>
        </w:r>
      </w:hyperlink>
    </w:p>
    <w:p w14:paraId="499F6139" w14:textId="77777777" w:rsidR="00E74DEF" w:rsidRPr="0051542F" w:rsidRDefault="00E74DEF" w:rsidP="00E74DEF">
      <w:pPr>
        <w:tabs>
          <w:tab w:val="left" w:pos="360"/>
        </w:tabs>
        <w:spacing w:after="0" w:line="240" w:lineRule="auto"/>
        <w:rPr>
          <w:i/>
          <w:iCs/>
        </w:rPr>
      </w:pPr>
      <w:r w:rsidRPr="0051542F">
        <w:rPr>
          <w:i/>
          <w:iCs/>
        </w:rPr>
        <w:tab/>
        <w:t xml:space="preserve">The purpose of the BHWET Program for Professionals is to increase the supply of behavioral health professionals while also improving distribution of a quality behavioral health workforce and thereby increasing access to behavioral health services. A special focus is placed on the knowledge and understanding of children, adolescents, and transitional-aged youth at risk for behavioral health disorders. </w:t>
      </w:r>
    </w:p>
    <w:p w14:paraId="02619AF5" w14:textId="77777777" w:rsidR="00E74DEF" w:rsidRPr="0051542F" w:rsidRDefault="00E74DEF" w:rsidP="00E74DEF">
      <w:pPr>
        <w:tabs>
          <w:tab w:val="left" w:pos="360"/>
        </w:tabs>
        <w:spacing w:after="0" w:line="240" w:lineRule="auto"/>
        <w:rPr>
          <w:i/>
          <w:iCs/>
        </w:rPr>
      </w:pPr>
      <w:r w:rsidRPr="0051542F">
        <w:rPr>
          <w:i/>
          <w:iCs/>
        </w:rPr>
        <w:tab/>
        <w:t>Program Goals: (1) Establish relationships with community-based partners (e.g. hospitals, crisis centers, state and local health departments, emergency departments, faith-based organizations, first responders, and judicial systems) to increase access to quality behavioral health services in high need and high demand areas for populations across the lifespan; (2) Promote collaborative training by utilizing team-based models of care in integrated, interdisciplinary behavioral and primary care settings; and (3) Recruit a workforce that reflects participation in the institutions’ programs of individuals and groups from different racial, ethnic, cultural, geographic, religious, linguistic, and class backgrounds, and different genders and sexual orientations, interested in serving high need and high demand areas interested in serving high need and high demand areas.</w:t>
      </w:r>
    </w:p>
    <w:p w14:paraId="758254E9" w14:textId="77777777" w:rsidR="00E74DEF" w:rsidRPr="0051542F" w:rsidRDefault="00E74DEF" w:rsidP="00E74DEF">
      <w:pPr>
        <w:tabs>
          <w:tab w:val="left" w:pos="360"/>
        </w:tabs>
        <w:spacing w:after="0" w:line="240" w:lineRule="auto"/>
        <w:rPr>
          <w:i/>
          <w:iCs/>
        </w:rPr>
      </w:pPr>
      <w:r w:rsidRPr="0051542F">
        <w:rPr>
          <w:i/>
          <w:iCs/>
        </w:rPr>
        <w:tab/>
        <w:t>Program Objectives: (1) Increase the number of experiential training sites to promote the integration of behavioral health into primary care settings in high need and high demand areas. Experiential placements must include interdisciplinary training of two or more health disciplines using a team based care approach to provide quality behavioral health services; (2) Enhance didactic and experiential training activities through the development of competencies in primary and behavioral integrated, interprofessional team-based trauma informed care, for trainees, faculty, and staff; (3) Establish community partnerships to ensure participation in the institutions’ programs of individuals and groups from different racial, ethnic, cultural, geographic, religious, linguistic, and class backgrounds, and different genders and sexual orientations, opportunities for field placements, community education, career development, and provide job placement services, to increase access to behavioral health services; (4) Promote technology integration in the provision of services and training programs, including utilizing telehealth services, implementing strategies to increase digital health literacy, and offering options for distance learning; and (5) Reduce financial barriers by providing financial support to trainees in the form of stipends and other participant support costs.</w:t>
      </w:r>
      <w:r w:rsidRPr="0051542F">
        <w:rPr>
          <w:i/>
          <w:iCs/>
        </w:rPr>
        <w:cr/>
      </w:r>
    </w:p>
    <w:p w14:paraId="2400596C" w14:textId="77777777" w:rsidR="00E74DEF" w:rsidRPr="009842F8" w:rsidRDefault="00E74DEF" w:rsidP="00E74DEF">
      <w:pPr>
        <w:tabs>
          <w:tab w:val="left" w:pos="360"/>
        </w:tabs>
        <w:spacing w:after="0" w:line="240" w:lineRule="auto"/>
        <w:rPr>
          <w:b/>
          <w:bCs/>
        </w:rPr>
      </w:pPr>
      <w:r w:rsidRPr="009842F8">
        <w:rPr>
          <w:b/>
          <w:bCs/>
        </w:rPr>
        <w:t>Social Justice, Equity, Diversity, and Inclusion</w:t>
      </w:r>
    </w:p>
    <w:p w14:paraId="3C73487F" w14:textId="77777777" w:rsidR="00E74DEF" w:rsidRDefault="00E74DEF" w:rsidP="00E74DEF">
      <w:pPr>
        <w:tabs>
          <w:tab w:val="left" w:pos="360"/>
        </w:tabs>
        <w:spacing w:after="0" w:line="240" w:lineRule="auto"/>
      </w:pPr>
    </w:p>
    <w:p w14:paraId="2DB0F5D2" w14:textId="77777777" w:rsidR="00E74DEF" w:rsidRDefault="00E74DEF" w:rsidP="00E74DEF">
      <w:pPr>
        <w:tabs>
          <w:tab w:val="left" w:pos="360"/>
        </w:tabs>
        <w:spacing w:after="0" w:line="240" w:lineRule="auto"/>
        <w:rPr>
          <w:i/>
          <w:iCs/>
        </w:rPr>
      </w:pPr>
      <w:r w:rsidRPr="009842F8">
        <w:rPr>
          <w:b/>
          <w:bCs/>
        </w:rPr>
        <w:t>Robert Wood Johnson Foundation Policies for Action: Public Policy Research to Advance Racial Equity and Racial Justice</w:t>
      </w:r>
      <w:r>
        <w:t xml:space="preserve"> due </w:t>
      </w:r>
      <w:r w:rsidRPr="009842F8">
        <w:rPr>
          <w:i/>
          <w:iCs/>
        </w:rPr>
        <w:t>LOI Nov. 24, 2020, Full proposal if invited Apr. 7, 2021</w:t>
      </w:r>
    </w:p>
    <w:p w14:paraId="78D35047" w14:textId="77777777" w:rsidR="00E74DEF" w:rsidRDefault="00E74DEF" w:rsidP="00E74DEF">
      <w:pPr>
        <w:tabs>
          <w:tab w:val="left" w:pos="360"/>
        </w:tabs>
        <w:spacing w:after="0" w:line="240" w:lineRule="auto"/>
      </w:pPr>
      <w:hyperlink r:id="rId6" w:history="1">
        <w:r w:rsidRPr="000A1255">
          <w:rPr>
            <w:rStyle w:val="Hyperlink"/>
          </w:rPr>
          <w:t>https://www.rwjf.org/en/library/funding-opportunities/2020/policies-for-action--public-policy-research-to-advance-racial-equity-and-racial-justice.html?rid=0032S000029g9CQQAY&amp;et_cid=2245173</w:t>
        </w:r>
      </w:hyperlink>
    </w:p>
    <w:p w14:paraId="5DBBAF93" w14:textId="77777777" w:rsidR="00E74DEF" w:rsidRPr="009842F8" w:rsidRDefault="00E74DEF" w:rsidP="00E74DEF">
      <w:pPr>
        <w:tabs>
          <w:tab w:val="left" w:pos="360"/>
        </w:tabs>
        <w:spacing w:after="0" w:line="240" w:lineRule="auto"/>
        <w:rPr>
          <w:i/>
          <w:iCs/>
        </w:rPr>
      </w:pPr>
      <w:r w:rsidRPr="009842F8">
        <w:rPr>
          <w:i/>
          <w:iCs/>
        </w:rPr>
        <w:tab/>
        <w:t>Achieving racial equity and justice in the United States requires a sustained, multipronged intersectional policy approach that addresses both the immediate social conditions leading to poor health outcomes, but also the long-standing structures fostering such conditions. The goal of the Policies for Action call for proposals is to build the evidence base about how national, state, and local policies can improve racial equity in health and well-being in the United States.</w:t>
      </w:r>
    </w:p>
    <w:p w14:paraId="044B76F1" w14:textId="77777777" w:rsidR="00E74DEF" w:rsidRDefault="00E74DEF" w:rsidP="00E74DEF">
      <w:pPr>
        <w:tabs>
          <w:tab w:val="left" w:pos="360"/>
        </w:tabs>
        <w:spacing w:after="0" w:line="240" w:lineRule="auto"/>
        <w:rPr>
          <w:i/>
          <w:iCs/>
        </w:rPr>
      </w:pPr>
      <w:r w:rsidRPr="009842F8">
        <w:rPr>
          <w:i/>
          <w:iCs/>
        </w:rPr>
        <w:tab/>
        <w:t>RWJF’s commitment to advancing a bold research agenda helps bring evidence to bear on some of the most complex health and policy issues facing the United States today. Together, we can make progress toward a Culture of Health by transforming policies to expand access and opportunities.</w:t>
      </w:r>
    </w:p>
    <w:p w14:paraId="5E1EBB8A" w14:textId="77777777" w:rsidR="00E74DEF" w:rsidRDefault="00E74DEF" w:rsidP="00E74DEF">
      <w:pPr>
        <w:tabs>
          <w:tab w:val="left" w:pos="360"/>
        </w:tabs>
        <w:spacing w:after="0" w:line="240" w:lineRule="auto"/>
        <w:rPr>
          <w:i/>
          <w:iCs/>
        </w:rPr>
      </w:pPr>
    </w:p>
    <w:p w14:paraId="5C0D7B9E" w14:textId="77777777" w:rsidR="00E74DEF" w:rsidRPr="00D555F0" w:rsidRDefault="00E74DEF" w:rsidP="00E74DEF">
      <w:pPr>
        <w:spacing w:after="0" w:line="240" w:lineRule="auto"/>
        <w:rPr>
          <w:b/>
          <w:bCs/>
        </w:rPr>
      </w:pPr>
      <w:r w:rsidRPr="00D555F0">
        <w:rPr>
          <w:b/>
          <w:bCs/>
        </w:rPr>
        <w:t>Humanities</w:t>
      </w:r>
    </w:p>
    <w:p w14:paraId="0C4C381D" w14:textId="77777777" w:rsidR="00E74DEF" w:rsidRDefault="00E74DEF" w:rsidP="00E74DEF">
      <w:pPr>
        <w:spacing w:after="0" w:line="240" w:lineRule="auto"/>
      </w:pPr>
    </w:p>
    <w:p w14:paraId="63117099" w14:textId="77777777" w:rsidR="00E74DEF" w:rsidRPr="00F97BE4" w:rsidRDefault="00E74DEF" w:rsidP="00E74DEF">
      <w:pPr>
        <w:spacing w:after="0" w:line="240" w:lineRule="auto"/>
        <w:rPr>
          <w:i/>
          <w:iCs/>
        </w:rPr>
      </w:pPr>
      <w:r w:rsidRPr="0072112A">
        <w:rPr>
          <w:b/>
          <w:bCs/>
        </w:rPr>
        <w:t>Cornerstone: Learning for Living</w:t>
      </w:r>
      <w:r>
        <w:t xml:space="preserve"> Concept paper due </w:t>
      </w:r>
      <w:r w:rsidRPr="00F97BE4">
        <w:rPr>
          <w:i/>
          <w:iCs/>
        </w:rPr>
        <w:t>Dec. 1, 2020</w:t>
      </w:r>
    </w:p>
    <w:p w14:paraId="2F198309" w14:textId="77777777" w:rsidR="00E74DEF" w:rsidRDefault="00E74DEF" w:rsidP="00E74DEF">
      <w:pPr>
        <w:spacing w:after="0" w:line="240" w:lineRule="auto"/>
      </w:pPr>
      <w:hyperlink r:id="rId7" w:history="1">
        <w:r w:rsidRPr="003F070E">
          <w:rPr>
            <w:rStyle w:val="Hyperlink"/>
          </w:rPr>
          <w:t>http://www.teaglefoundation.org/Call-for-Proposals/Initiatives/Cornerstone</w:t>
        </w:r>
      </w:hyperlink>
      <w:r>
        <w:t xml:space="preserve"> </w:t>
      </w:r>
    </w:p>
    <w:p w14:paraId="00C4C7DD" w14:textId="77777777" w:rsidR="00E74DEF" w:rsidRPr="008A762B" w:rsidRDefault="00E74DEF" w:rsidP="00E74DEF">
      <w:pPr>
        <w:tabs>
          <w:tab w:val="left" w:pos="360"/>
        </w:tabs>
        <w:spacing w:after="0" w:line="240" w:lineRule="auto"/>
        <w:rPr>
          <w:i/>
          <w:iCs/>
        </w:rPr>
      </w:pPr>
      <w:r>
        <w:tab/>
      </w:r>
      <w:r w:rsidRPr="008A762B">
        <w:rPr>
          <w:i/>
          <w:iCs/>
        </w:rPr>
        <w:t>The Teagle Foundation and the National Endowment for the Humanities (NEH) are jointly sponsoring Cornerstone: Learning for Living to revitalize the role of the humanities in general education. Grant awards up to $25,000 over 6-12 months for planning and up to $350,000 over 24 months for implementation will be made to institutions participating in this initiative. The size of the grant award will be based on the scope of the project. Under the Teagle-NEH partnership, awards for planning and implementation will be made in Academic Year (AY) 2020-2021, AY 2021-2022, and AY 2022-2023 for work to be carried out between now and AY 2024-2025.</w:t>
      </w:r>
    </w:p>
    <w:p w14:paraId="183429BA" w14:textId="77777777" w:rsidR="00E74DEF" w:rsidRDefault="00E74DEF" w:rsidP="00E74DEF">
      <w:pPr>
        <w:spacing w:after="0" w:line="240" w:lineRule="auto"/>
      </w:pPr>
    </w:p>
    <w:p w14:paraId="24318024" w14:textId="77777777" w:rsidR="00E74DEF" w:rsidRPr="0072112A" w:rsidRDefault="00E74DEF" w:rsidP="00E74DEF">
      <w:pPr>
        <w:spacing w:after="0" w:line="240" w:lineRule="auto"/>
        <w:rPr>
          <w:i/>
          <w:iCs/>
        </w:rPr>
      </w:pPr>
      <w:r w:rsidRPr="0072112A">
        <w:rPr>
          <w:b/>
          <w:bCs/>
        </w:rPr>
        <w:t>National Endowment for the Humanities Scholarly Editions and Scholarly Translations</w:t>
      </w:r>
      <w:r>
        <w:t xml:space="preserve"> due </w:t>
      </w:r>
      <w:r w:rsidRPr="0072112A">
        <w:rPr>
          <w:i/>
          <w:iCs/>
        </w:rPr>
        <w:t>Dec</w:t>
      </w:r>
      <w:r>
        <w:rPr>
          <w:i/>
          <w:iCs/>
        </w:rPr>
        <w:t>.</w:t>
      </w:r>
      <w:r w:rsidRPr="0072112A">
        <w:rPr>
          <w:i/>
          <w:iCs/>
        </w:rPr>
        <w:t xml:space="preserve"> 2, 2020</w:t>
      </w:r>
    </w:p>
    <w:p w14:paraId="1A0DB391" w14:textId="77777777" w:rsidR="00E74DEF" w:rsidRDefault="00E74DEF" w:rsidP="00E74DEF">
      <w:pPr>
        <w:spacing w:after="0" w:line="240" w:lineRule="auto"/>
      </w:pPr>
      <w:hyperlink r:id="rId8" w:history="1">
        <w:r w:rsidRPr="003F070E">
          <w:rPr>
            <w:rStyle w:val="Hyperlink"/>
          </w:rPr>
          <w:t>https://www.neh.gov/grants/research/scholarly-editions-and-translations-grants</w:t>
        </w:r>
      </w:hyperlink>
      <w:r>
        <w:t xml:space="preserve"> </w:t>
      </w:r>
    </w:p>
    <w:p w14:paraId="1AAE92A3" w14:textId="77777777" w:rsidR="00E74DEF" w:rsidRPr="00F97BE4" w:rsidRDefault="00E74DEF" w:rsidP="00E74DEF">
      <w:pPr>
        <w:tabs>
          <w:tab w:val="left" w:pos="360"/>
        </w:tabs>
        <w:spacing w:after="0" w:line="240" w:lineRule="auto"/>
        <w:rPr>
          <w:i/>
          <w:iCs/>
        </w:rPr>
      </w:pPr>
      <w:r w:rsidRPr="00F97BE4">
        <w:rPr>
          <w:i/>
          <w:iCs/>
        </w:rPr>
        <w:tab/>
        <w:t>The Scholarly Editions and Scholarly Translations program provides grants to organizations to support collaborative teams who are editing, annotating, and translating foundational humanities texts that are vital to learning and research but are currently inaccessible or are available only in inadequate editions or translations.  Typically, the texts are significant literary, philosophical, and historical materials, but other types of work, such as musical notation, may also be the subject of an edition.</w:t>
      </w:r>
    </w:p>
    <w:p w14:paraId="363C47F3" w14:textId="77777777" w:rsidR="00E74DEF" w:rsidRPr="00F97BE4" w:rsidRDefault="00E74DEF" w:rsidP="00E74DEF">
      <w:pPr>
        <w:tabs>
          <w:tab w:val="left" w:pos="360"/>
        </w:tabs>
        <w:spacing w:after="0" w:line="240" w:lineRule="auto"/>
        <w:rPr>
          <w:i/>
          <w:iCs/>
        </w:rPr>
      </w:pPr>
      <w:r w:rsidRPr="00F97BE4">
        <w:rPr>
          <w:i/>
          <w:iCs/>
        </w:rPr>
        <w:tab/>
        <w:t>The program supports continuous full-time or part-time activities during the periods of performance of one to three years.  Projects must be undertaken by at least two scholars working collaboratively.  While international collaboration is permitted, projects must maintain an equitable balance between scholars at U.S. institutions and scholars at non-U.S. institutions.  In addition to supporting long-term editorial projects, the program also encourages applications for short-term projects and for projects that are at a planning stage.</w:t>
      </w:r>
    </w:p>
    <w:p w14:paraId="41A11779" w14:textId="77777777" w:rsidR="00E74DEF" w:rsidRDefault="00E74DEF" w:rsidP="00E74DEF">
      <w:pPr>
        <w:spacing w:after="0" w:line="240" w:lineRule="auto"/>
      </w:pPr>
    </w:p>
    <w:p w14:paraId="5C0E4530" w14:textId="77777777" w:rsidR="00E74DEF" w:rsidRPr="00F97BE4" w:rsidRDefault="00E74DEF" w:rsidP="00E74DEF">
      <w:pPr>
        <w:spacing w:after="0" w:line="240" w:lineRule="auto"/>
        <w:rPr>
          <w:i/>
          <w:iCs/>
        </w:rPr>
      </w:pPr>
      <w:r w:rsidRPr="0072112A">
        <w:rPr>
          <w:b/>
          <w:bCs/>
        </w:rPr>
        <w:t>National Endowment for the Humanities</w:t>
      </w:r>
      <w:r>
        <w:rPr>
          <w:b/>
          <w:bCs/>
        </w:rPr>
        <w:t xml:space="preserve"> Media Projects </w:t>
      </w:r>
      <w:r>
        <w:t xml:space="preserve">due </w:t>
      </w:r>
      <w:r w:rsidRPr="00F97BE4">
        <w:rPr>
          <w:i/>
          <w:iCs/>
        </w:rPr>
        <w:t>Jan. 6, 2021 (Optional draft due Dec. 2, 2020)</w:t>
      </w:r>
    </w:p>
    <w:p w14:paraId="2A81202D" w14:textId="77777777" w:rsidR="00E74DEF" w:rsidRDefault="00E74DEF" w:rsidP="00E74DEF">
      <w:pPr>
        <w:spacing w:after="0" w:line="240" w:lineRule="auto"/>
      </w:pPr>
      <w:hyperlink r:id="rId9" w:history="1">
        <w:r w:rsidRPr="004F4AD9">
          <w:rPr>
            <w:rStyle w:val="Hyperlink"/>
          </w:rPr>
          <w:t>https://www.neh.gov/program/media-projects</w:t>
        </w:r>
      </w:hyperlink>
      <w:r>
        <w:t xml:space="preserve"> </w:t>
      </w:r>
    </w:p>
    <w:p w14:paraId="36BC1ABE" w14:textId="77777777" w:rsidR="00E74DEF" w:rsidRPr="00F97BE4" w:rsidRDefault="00E74DEF" w:rsidP="00E74DEF">
      <w:pPr>
        <w:tabs>
          <w:tab w:val="left" w:pos="360"/>
        </w:tabs>
        <w:spacing w:after="0" w:line="240" w:lineRule="auto"/>
        <w:rPr>
          <w:i/>
          <w:iCs/>
        </w:rPr>
      </w:pPr>
      <w:r>
        <w:tab/>
      </w:r>
      <w:r w:rsidRPr="00F97BE4">
        <w:rPr>
          <w:i/>
          <w:iCs/>
        </w:rPr>
        <w:t xml:space="preserve">The Media Projects program supports the development, production, and distribution of radio, podcast, television, and long-form documentary film projects that engage general audiences with humanities ideas in creative and appealing ways.  All projects must be grounded in humanities scholarship and demonstrate an approach that is thoughtful, balanced, and analytical.  The approach to the subject matter must go beyond the mere presentation of </w:t>
      </w:r>
      <w:proofErr w:type="gramStart"/>
      <w:r w:rsidRPr="00F97BE4">
        <w:rPr>
          <w:i/>
          <w:iCs/>
        </w:rPr>
        <w:t>factual information</w:t>
      </w:r>
      <w:proofErr w:type="gramEnd"/>
      <w:r w:rsidRPr="00F97BE4">
        <w:rPr>
          <w:i/>
          <w:iCs/>
        </w:rPr>
        <w:t xml:space="preserve"> to explore its larger significance and stimulate reflection.  Media Projects offers two levels of funding: Development and Production.</w:t>
      </w:r>
    </w:p>
    <w:p w14:paraId="695AADEF" w14:textId="77777777" w:rsidR="00E74DEF" w:rsidRDefault="00E74DEF" w:rsidP="00E74DEF">
      <w:pPr>
        <w:tabs>
          <w:tab w:val="left" w:pos="360"/>
        </w:tabs>
        <w:spacing w:after="0" w:line="240" w:lineRule="auto"/>
      </w:pPr>
    </w:p>
    <w:p w14:paraId="56CF8B88" w14:textId="77777777" w:rsidR="00E74DEF" w:rsidRPr="00F97BE4" w:rsidRDefault="00E74DEF" w:rsidP="00E74DEF">
      <w:pPr>
        <w:spacing w:after="0" w:line="240" w:lineRule="auto"/>
        <w:rPr>
          <w:i/>
          <w:iCs/>
        </w:rPr>
      </w:pPr>
      <w:r w:rsidRPr="0072112A">
        <w:rPr>
          <w:b/>
          <w:bCs/>
        </w:rPr>
        <w:lastRenderedPageBreak/>
        <w:t>National Endowment for the Humanities</w:t>
      </w:r>
      <w:r>
        <w:rPr>
          <w:b/>
          <w:bCs/>
        </w:rPr>
        <w:t xml:space="preserve"> </w:t>
      </w:r>
      <w:r w:rsidRPr="00D555F0">
        <w:rPr>
          <w:b/>
          <w:bCs/>
        </w:rPr>
        <w:t>Public Humanities</w:t>
      </w:r>
      <w:r>
        <w:t xml:space="preserve"> </w:t>
      </w:r>
      <w:r>
        <w:rPr>
          <w:b/>
          <w:bCs/>
        </w:rPr>
        <w:t xml:space="preserve">Projects </w:t>
      </w:r>
      <w:r>
        <w:t xml:space="preserve">due </w:t>
      </w:r>
      <w:r w:rsidRPr="00F97BE4">
        <w:rPr>
          <w:i/>
          <w:iCs/>
        </w:rPr>
        <w:t xml:space="preserve">Jan. 6, 2021 (Optional draft due </w:t>
      </w:r>
      <w:r>
        <w:rPr>
          <w:i/>
          <w:iCs/>
        </w:rPr>
        <w:t>Nov</w:t>
      </w:r>
      <w:r w:rsidRPr="00F97BE4">
        <w:rPr>
          <w:i/>
          <w:iCs/>
        </w:rPr>
        <w:t>. 2</w:t>
      </w:r>
      <w:r>
        <w:rPr>
          <w:i/>
          <w:iCs/>
        </w:rPr>
        <w:t>7</w:t>
      </w:r>
      <w:r w:rsidRPr="00F97BE4">
        <w:rPr>
          <w:i/>
          <w:iCs/>
        </w:rPr>
        <w:t>, 2020)</w:t>
      </w:r>
    </w:p>
    <w:p w14:paraId="7328B4D9" w14:textId="77777777" w:rsidR="00E74DEF" w:rsidRDefault="00E74DEF" w:rsidP="00E74DEF">
      <w:pPr>
        <w:tabs>
          <w:tab w:val="left" w:pos="360"/>
        </w:tabs>
        <w:spacing w:after="0" w:line="240" w:lineRule="auto"/>
      </w:pPr>
      <w:hyperlink r:id="rId10" w:history="1">
        <w:r w:rsidRPr="000A1255">
          <w:rPr>
            <w:rStyle w:val="Hyperlink"/>
          </w:rPr>
          <w:t>https://www.neh.gov/grants/public/public-humanities-projects</w:t>
        </w:r>
      </w:hyperlink>
      <w:r>
        <w:t xml:space="preserve"> </w:t>
      </w:r>
    </w:p>
    <w:p w14:paraId="7BAEDDDE" w14:textId="77777777" w:rsidR="00E74DEF" w:rsidRPr="008A762B" w:rsidRDefault="00E74DEF" w:rsidP="00E74DEF">
      <w:pPr>
        <w:tabs>
          <w:tab w:val="left" w:pos="360"/>
        </w:tabs>
        <w:spacing w:after="0" w:line="240" w:lineRule="auto"/>
        <w:rPr>
          <w:i/>
          <w:iCs/>
        </w:rPr>
      </w:pPr>
      <w:r w:rsidRPr="008A762B">
        <w:rPr>
          <w:i/>
          <w:iCs/>
        </w:rPr>
        <w:tab/>
        <w:t>The Public Humanities Projects program supports projects that bring the ideas and insights of the humanities to life for general audiences through in-person programming.  Projects must engage humanities scholarship to analyze significant themes in disciplines such as history, literature, ethics, and art history.</w:t>
      </w:r>
    </w:p>
    <w:p w14:paraId="7E82835B" w14:textId="77777777" w:rsidR="00E74DEF" w:rsidRPr="008A762B" w:rsidRDefault="00E74DEF" w:rsidP="00E74DEF">
      <w:pPr>
        <w:tabs>
          <w:tab w:val="left" w:pos="360"/>
        </w:tabs>
        <w:spacing w:after="0" w:line="240" w:lineRule="auto"/>
        <w:rPr>
          <w:i/>
          <w:iCs/>
        </w:rPr>
      </w:pPr>
      <w:r w:rsidRPr="008A762B">
        <w:rPr>
          <w:i/>
          <w:iCs/>
        </w:rPr>
        <w:tab/>
        <w:t>Public Humanities Projects supports projects in three program categories (Exhibitions, Historic Places, and Humanities Discussions), and at two funding levels (Planning and Implementation). Regardless of proposed activity, NEH encourages applicants to explore humanities ideas through multiple formats.  Proposed projects may include complementary components: for example, a museum exhibition might be accompanied by a website or mobile app.</w:t>
      </w:r>
    </w:p>
    <w:p w14:paraId="6FF6480C" w14:textId="77777777" w:rsidR="00E74DEF" w:rsidRPr="008A762B" w:rsidRDefault="00E74DEF" w:rsidP="00E74DEF">
      <w:pPr>
        <w:tabs>
          <w:tab w:val="left" w:pos="360"/>
        </w:tabs>
        <w:spacing w:after="0" w:line="240" w:lineRule="auto"/>
        <w:rPr>
          <w:i/>
          <w:iCs/>
        </w:rPr>
      </w:pPr>
      <w:r w:rsidRPr="008A762B">
        <w:rPr>
          <w:i/>
          <w:iCs/>
        </w:rPr>
        <w:tab/>
        <w:t xml:space="preserve">Small and mid-sized organizations are especially encouraged to apply.  We likewise welcome humanities projects tailored to </w:t>
      </w:r>
      <w:proofErr w:type="gramStart"/>
      <w:r w:rsidRPr="008A762B">
        <w:rPr>
          <w:i/>
          <w:iCs/>
        </w:rPr>
        <w:t>particular groups</w:t>
      </w:r>
      <w:proofErr w:type="gramEnd"/>
      <w:r w:rsidRPr="008A762B">
        <w:rPr>
          <w:i/>
          <w:iCs/>
        </w:rPr>
        <w:t>, such as families, youth (including K-12 students in informal educational settings), underserved communities, and veterans. Applicants are advised to consider developing partnerships with other institutions, particularly organizations such as cultural alliances, broadcast media stations, cultural heritage centers, state humanities councils, veterans’ centers, and libraries.</w:t>
      </w:r>
    </w:p>
    <w:p w14:paraId="5636D64A" w14:textId="77777777" w:rsidR="00E74DEF" w:rsidRDefault="00E74DEF" w:rsidP="00E74DEF">
      <w:pPr>
        <w:tabs>
          <w:tab w:val="left" w:pos="360"/>
        </w:tabs>
        <w:spacing w:after="0" w:line="240" w:lineRule="auto"/>
      </w:pPr>
    </w:p>
    <w:p w14:paraId="10C7BE4F" w14:textId="77777777" w:rsidR="00E74DEF" w:rsidRPr="00F97BE4" w:rsidRDefault="00E74DEF" w:rsidP="00E74DEF">
      <w:pPr>
        <w:spacing w:after="0" w:line="240" w:lineRule="auto"/>
        <w:rPr>
          <w:i/>
          <w:iCs/>
        </w:rPr>
      </w:pPr>
      <w:r w:rsidRPr="0072112A">
        <w:rPr>
          <w:b/>
          <w:bCs/>
        </w:rPr>
        <w:t>National Endowment for the Humanities</w:t>
      </w:r>
      <w:r>
        <w:rPr>
          <w:b/>
          <w:bCs/>
        </w:rPr>
        <w:t xml:space="preserve"> </w:t>
      </w:r>
      <w:r w:rsidRPr="00D555F0">
        <w:rPr>
          <w:b/>
          <w:bCs/>
        </w:rPr>
        <w:t>Public Humanities</w:t>
      </w:r>
      <w:r>
        <w:t xml:space="preserve"> </w:t>
      </w:r>
      <w:r>
        <w:rPr>
          <w:b/>
          <w:bCs/>
        </w:rPr>
        <w:t xml:space="preserve">Projects </w:t>
      </w:r>
      <w:r>
        <w:t xml:space="preserve">due </w:t>
      </w:r>
      <w:r>
        <w:rPr>
          <w:i/>
          <w:iCs/>
        </w:rPr>
        <w:t>Dec</w:t>
      </w:r>
      <w:r w:rsidRPr="00F97BE4">
        <w:rPr>
          <w:i/>
          <w:iCs/>
        </w:rPr>
        <w:t xml:space="preserve">. </w:t>
      </w:r>
      <w:r>
        <w:rPr>
          <w:i/>
          <w:iCs/>
        </w:rPr>
        <w:t>1</w:t>
      </w:r>
      <w:r w:rsidRPr="00F97BE4">
        <w:rPr>
          <w:i/>
          <w:iCs/>
        </w:rPr>
        <w:t>6, 202</w:t>
      </w:r>
      <w:r>
        <w:rPr>
          <w:i/>
          <w:iCs/>
        </w:rPr>
        <w:t>0</w:t>
      </w:r>
      <w:r w:rsidRPr="00F97BE4">
        <w:rPr>
          <w:i/>
          <w:iCs/>
        </w:rPr>
        <w:t xml:space="preserve"> </w:t>
      </w:r>
    </w:p>
    <w:p w14:paraId="59DCA5FA" w14:textId="77777777" w:rsidR="00E74DEF" w:rsidRDefault="00E74DEF" w:rsidP="00E74DEF">
      <w:pPr>
        <w:spacing w:after="0" w:line="240" w:lineRule="auto"/>
      </w:pPr>
      <w:hyperlink r:id="rId11" w:history="1">
        <w:r w:rsidRPr="000A1255">
          <w:rPr>
            <w:rStyle w:val="Hyperlink"/>
          </w:rPr>
          <w:t>https://www.neh.gov/grants/research/public-scholar-program</w:t>
        </w:r>
      </w:hyperlink>
      <w:r>
        <w:t xml:space="preserve"> </w:t>
      </w:r>
    </w:p>
    <w:p w14:paraId="00D85A64" w14:textId="77777777" w:rsidR="00E74DEF" w:rsidRPr="008A762B" w:rsidRDefault="00E74DEF" w:rsidP="00E74DEF">
      <w:pPr>
        <w:tabs>
          <w:tab w:val="left" w:pos="360"/>
        </w:tabs>
        <w:spacing w:after="0" w:line="240" w:lineRule="auto"/>
        <w:rPr>
          <w:i/>
          <w:iCs/>
        </w:rPr>
      </w:pPr>
      <w:r w:rsidRPr="008A762B">
        <w:rPr>
          <w:i/>
          <w:iCs/>
        </w:rPr>
        <w:tab/>
        <w:t>The Public Scholars program supports the creation of well-researched nonfiction books in the humanities written for the broad public.  It does so by offering grants to individual authors for research, writing, travel, and other activities leading to publication.  Writers with or without an academic affiliation may apply, and no advanced degree is required.  The program is intended both to encourage non-academic writers to deepen their engagement with the humanities by strengthening the research underlying their books and to encourage academic writers in the humanities to communicate the significance of their research to the broadest possible range of readers.  NEH especially encourages applications to this program from independent writers, researchers, scholars, and journalists.</w:t>
      </w:r>
    </w:p>
    <w:p w14:paraId="07105765" w14:textId="77777777" w:rsidR="00E74DEF" w:rsidRDefault="00E74DEF" w:rsidP="00E74DEF">
      <w:pPr>
        <w:spacing w:after="0" w:line="240" w:lineRule="auto"/>
      </w:pPr>
    </w:p>
    <w:p w14:paraId="18F55F7D" w14:textId="77777777" w:rsidR="00E74DEF" w:rsidRPr="00D555F0" w:rsidRDefault="00E74DEF" w:rsidP="00E74DEF">
      <w:pPr>
        <w:spacing w:after="0" w:line="240" w:lineRule="auto"/>
        <w:rPr>
          <w:b/>
          <w:bCs/>
        </w:rPr>
      </w:pPr>
      <w:r w:rsidRPr="00D555F0">
        <w:rPr>
          <w:b/>
          <w:bCs/>
        </w:rPr>
        <w:t>STEM (Science, Technology, Engineering, and Mathematics)</w:t>
      </w:r>
    </w:p>
    <w:p w14:paraId="185CFA51" w14:textId="77777777" w:rsidR="00E74DEF" w:rsidRDefault="00E74DEF" w:rsidP="00E74DEF">
      <w:pPr>
        <w:spacing w:after="0" w:line="240" w:lineRule="auto"/>
      </w:pPr>
    </w:p>
    <w:p w14:paraId="41FBC496" w14:textId="77777777" w:rsidR="00E74DEF" w:rsidRPr="0072112A" w:rsidRDefault="00E74DEF" w:rsidP="00E74DEF">
      <w:pPr>
        <w:spacing w:after="0" w:line="240" w:lineRule="auto"/>
        <w:rPr>
          <w:i/>
          <w:iCs/>
        </w:rPr>
      </w:pPr>
      <w:r w:rsidRPr="00567D26">
        <w:rPr>
          <w:b/>
          <w:bCs/>
        </w:rPr>
        <w:t>NSF Science of Science: Discovery, Communication, and Impact (</w:t>
      </w:r>
      <w:proofErr w:type="gramStart"/>
      <w:r w:rsidRPr="00567D26">
        <w:rPr>
          <w:b/>
          <w:bCs/>
        </w:rPr>
        <w:t>SoS:DCI</w:t>
      </w:r>
      <w:proofErr w:type="gramEnd"/>
      <w:r w:rsidRPr="00567D26">
        <w:rPr>
          <w:b/>
          <w:bCs/>
        </w:rPr>
        <w:t>)</w:t>
      </w:r>
      <w:r>
        <w:t xml:space="preserve"> due </w:t>
      </w:r>
      <w:r w:rsidRPr="0072112A">
        <w:rPr>
          <w:i/>
          <w:iCs/>
        </w:rPr>
        <w:t>Feb. 10, 2021</w:t>
      </w:r>
    </w:p>
    <w:p w14:paraId="72B197CD" w14:textId="77777777" w:rsidR="00E74DEF" w:rsidRDefault="00E74DEF" w:rsidP="00E74DEF">
      <w:pPr>
        <w:spacing w:after="0" w:line="240" w:lineRule="auto"/>
      </w:pPr>
      <w:hyperlink r:id="rId12" w:history="1">
        <w:r w:rsidRPr="003F070E">
          <w:rPr>
            <w:rStyle w:val="Hyperlink"/>
          </w:rPr>
          <w:t>https://www.nsf.gov/pubs/2020/nsf20128/nsf20128.jsp?WT.mc_id=USNSF_25&amp;WT.mc_ev=click</w:t>
        </w:r>
      </w:hyperlink>
      <w:r>
        <w:t xml:space="preserve"> </w:t>
      </w:r>
    </w:p>
    <w:p w14:paraId="22198BCF" w14:textId="77777777" w:rsidR="00E74DEF" w:rsidRPr="00C12D1D" w:rsidRDefault="00E74DEF" w:rsidP="00E74DEF">
      <w:pPr>
        <w:tabs>
          <w:tab w:val="left" w:pos="360"/>
        </w:tabs>
        <w:spacing w:after="0" w:line="240" w:lineRule="auto"/>
        <w:rPr>
          <w:i/>
          <w:iCs/>
        </w:rPr>
      </w:pPr>
      <w:r>
        <w:rPr>
          <w:i/>
          <w:iCs/>
        </w:rPr>
        <w:tab/>
      </w:r>
      <w:r w:rsidRPr="00C12D1D">
        <w:rPr>
          <w:i/>
          <w:iCs/>
        </w:rPr>
        <w:t>The Science of Science: Discovery, Communication, and Impact (</w:t>
      </w:r>
      <w:proofErr w:type="gramStart"/>
      <w:r w:rsidRPr="00C12D1D">
        <w:rPr>
          <w:i/>
          <w:iCs/>
        </w:rPr>
        <w:t>SoS:DCI</w:t>
      </w:r>
      <w:proofErr w:type="gramEnd"/>
      <w:r w:rsidRPr="00C12D1D">
        <w:rPr>
          <w:i/>
          <w:iCs/>
        </w:rPr>
        <w:t xml:space="preserve">) program is designed to increase the public value of scientific activity. The program pursues this goal by supporting basic research in three fundamental areas:  (1) How to increase the rate of socially beneficial discovery; (2) How to improve science communication outcomes; and (3) How to expand the societal benefits of scientific activity. The </w:t>
      </w:r>
      <w:proofErr w:type="gramStart"/>
      <w:r w:rsidRPr="00C12D1D">
        <w:rPr>
          <w:i/>
          <w:iCs/>
        </w:rPr>
        <w:t>SoS:DCI</w:t>
      </w:r>
      <w:proofErr w:type="gramEnd"/>
      <w:r w:rsidRPr="00C12D1D">
        <w:rPr>
          <w:i/>
          <w:iCs/>
        </w:rPr>
        <w:t xml:space="preserve"> program, which builds upon the former Science of Science &amp; Innovation Policy (SciSIP) program, funds research that builds theoretical and empirical understandings of these three areas. With this goal in mind, proposals should: </w:t>
      </w:r>
    </w:p>
    <w:p w14:paraId="49155340" w14:textId="77777777" w:rsidR="00E74DEF" w:rsidRPr="00C12D1D" w:rsidRDefault="00E74DEF" w:rsidP="00E74DEF">
      <w:pPr>
        <w:pStyle w:val="ListParagraph"/>
        <w:numPr>
          <w:ilvl w:val="0"/>
          <w:numId w:val="1"/>
        </w:numPr>
        <w:spacing w:after="0" w:line="240" w:lineRule="auto"/>
        <w:ind w:left="180" w:hanging="180"/>
        <w:rPr>
          <w:i/>
          <w:iCs/>
        </w:rPr>
      </w:pPr>
      <w:r w:rsidRPr="00C12D1D">
        <w:rPr>
          <w:i/>
          <w:iCs/>
        </w:rPr>
        <w:t xml:space="preserve">Develop data, models, indicators, and associated analytical tools that constitute and enable transformative advances rather than incremental change. </w:t>
      </w:r>
    </w:p>
    <w:p w14:paraId="522789ED" w14:textId="77777777" w:rsidR="00E74DEF" w:rsidRPr="00C12D1D" w:rsidRDefault="00E74DEF" w:rsidP="00E74DEF">
      <w:pPr>
        <w:pStyle w:val="ListParagraph"/>
        <w:numPr>
          <w:ilvl w:val="0"/>
          <w:numId w:val="1"/>
        </w:numPr>
        <w:spacing w:after="0" w:line="240" w:lineRule="auto"/>
        <w:ind w:left="180" w:hanging="180"/>
        <w:rPr>
          <w:i/>
          <w:iCs/>
        </w:rPr>
      </w:pPr>
      <w:r w:rsidRPr="00C12D1D">
        <w:rPr>
          <w:i/>
          <w:iCs/>
        </w:rPr>
        <w:t xml:space="preserve">Identify ethical challenges and mitigate potential risks to people and institutions. </w:t>
      </w:r>
    </w:p>
    <w:p w14:paraId="51E33478" w14:textId="77777777" w:rsidR="00E74DEF" w:rsidRPr="00C12D1D" w:rsidRDefault="00E74DEF" w:rsidP="00E74DEF">
      <w:pPr>
        <w:pStyle w:val="ListParagraph"/>
        <w:numPr>
          <w:ilvl w:val="0"/>
          <w:numId w:val="1"/>
        </w:numPr>
        <w:spacing w:after="0" w:line="240" w:lineRule="auto"/>
        <w:ind w:left="180" w:hanging="180"/>
        <w:rPr>
          <w:i/>
          <w:iCs/>
        </w:rPr>
      </w:pPr>
      <w:r w:rsidRPr="00C12D1D">
        <w:rPr>
          <w:i/>
          <w:iCs/>
        </w:rPr>
        <w:t>Provide credible metrics and rigorous assessments of their proposed project’s impact.</w:t>
      </w:r>
    </w:p>
    <w:p w14:paraId="1460C49A" w14:textId="77777777" w:rsidR="00E74DEF" w:rsidRPr="00C12D1D" w:rsidRDefault="00E74DEF" w:rsidP="00E74DEF">
      <w:pPr>
        <w:pStyle w:val="ListParagraph"/>
        <w:numPr>
          <w:ilvl w:val="0"/>
          <w:numId w:val="1"/>
        </w:numPr>
        <w:spacing w:after="0" w:line="240" w:lineRule="auto"/>
        <w:ind w:left="180" w:hanging="180"/>
        <w:rPr>
          <w:i/>
          <w:iCs/>
        </w:rPr>
      </w:pPr>
      <w:r w:rsidRPr="00C12D1D">
        <w:rPr>
          <w:i/>
          <w:iCs/>
        </w:rPr>
        <w:t xml:space="preserve">Include robust data management plans with the goal to increase the usability, validity, and reliability of scientific materials. </w:t>
      </w:r>
    </w:p>
    <w:p w14:paraId="5F62F5BA" w14:textId="77777777" w:rsidR="00E74DEF" w:rsidRDefault="00E74DEF" w:rsidP="00E74DEF">
      <w:pPr>
        <w:tabs>
          <w:tab w:val="left" w:pos="360"/>
        </w:tabs>
        <w:spacing w:after="0" w:line="240" w:lineRule="auto"/>
        <w:rPr>
          <w:i/>
          <w:iCs/>
        </w:rPr>
      </w:pPr>
      <w:r>
        <w:rPr>
          <w:i/>
          <w:iCs/>
        </w:rPr>
        <w:lastRenderedPageBreak/>
        <w:tab/>
      </w:r>
      <w:r w:rsidRPr="00C12D1D">
        <w:rPr>
          <w:i/>
          <w:iCs/>
        </w:rPr>
        <w:t xml:space="preserve">The </w:t>
      </w:r>
      <w:proofErr w:type="gramStart"/>
      <w:r w:rsidRPr="00C12D1D">
        <w:rPr>
          <w:i/>
          <w:iCs/>
        </w:rPr>
        <w:t>SoS:DCI</w:t>
      </w:r>
      <w:proofErr w:type="gramEnd"/>
      <w:r w:rsidRPr="00C12D1D">
        <w:rPr>
          <w:i/>
          <w:iCs/>
        </w:rPr>
        <w:t xml:space="preserve"> program places a high priority on broadening participation. It encourages leadership from junior faculty, women, members of historically underrepresented groups, and proposals from Minority Serving Institutions (MSIs), Research Undergraduate Institutions (RUIs), and </w:t>
      </w:r>
      <w:proofErr w:type="spellStart"/>
      <w:r w:rsidRPr="00C12D1D">
        <w:rPr>
          <w:i/>
          <w:iCs/>
        </w:rPr>
        <w:t>EPSCoR</w:t>
      </w:r>
      <w:proofErr w:type="spellEnd"/>
      <w:r w:rsidRPr="00C12D1D">
        <w:rPr>
          <w:i/>
          <w:iCs/>
        </w:rPr>
        <w:t xml:space="preserve"> states. Of particular interest are proposals that have the highest potential to strengthen America’s global leadership in science and increase national competitiveness across a broad range of domains. These include proposals that analyze strategies for strengthening and diversifying the scientific workforce, as well as ways to more effectively cultivate high-impact discovery across sectors. The program strongly encourages convergent research and collaboration.</w:t>
      </w:r>
    </w:p>
    <w:tbl>
      <w:tblPr>
        <w:tblStyle w:val="TableGrid"/>
        <w:tblW w:w="0" w:type="auto"/>
        <w:tblLook w:val="04A0" w:firstRow="1" w:lastRow="0" w:firstColumn="1" w:lastColumn="0" w:noHBand="0" w:noVBand="1"/>
      </w:tblPr>
      <w:tblGrid>
        <w:gridCol w:w="9350"/>
      </w:tblGrid>
      <w:tr w:rsidR="00E74DEF" w14:paraId="1BF494FE" w14:textId="77777777" w:rsidTr="006B2E7F">
        <w:tc>
          <w:tcPr>
            <w:tcW w:w="9350" w:type="dxa"/>
          </w:tcPr>
          <w:p w14:paraId="7279B9BB" w14:textId="77777777" w:rsidR="00E74DEF" w:rsidRPr="0072112A" w:rsidRDefault="00E74DEF" w:rsidP="006B2E7F">
            <w:pPr>
              <w:rPr>
                <w:b/>
                <w:bCs/>
              </w:rPr>
            </w:pPr>
            <w:r w:rsidRPr="0072112A">
              <w:rPr>
                <w:b/>
                <w:bCs/>
              </w:rPr>
              <w:t>NSF Directorate for Social, Behavioral and Economic Sciences contacts:</w:t>
            </w:r>
          </w:p>
          <w:p w14:paraId="42D740FB" w14:textId="77777777" w:rsidR="00E74DEF" w:rsidRDefault="00E74DEF" w:rsidP="006B2E7F">
            <w:r>
              <w:t xml:space="preserve">Joshua Trapani, </w:t>
            </w:r>
            <w:hyperlink r:id="rId13" w:history="1">
              <w:r w:rsidRPr="003F070E">
                <w:rPr>
                  <w:rStyle w:val="Hyperlink"/>
                </w:rPr>
                <w:t>jtrapani@nsf.gov</w:t>
              </w:r>
            </w:hyperlink>
            <w:r>
              <w:t xml:space="preserve">, (703) 292-8924 </w:t>
            </w:r>
            <w:r>
              <w:tab/>
              <w:t xml:space="preserve"> </w:t>
            </w:r>
          </w:p>
          <w:p w14:paraId="56E4B560" w14:textId="77777777" w:rsidR="00E74DEF" w:rsidRDefault="00E74DEF" w:rsidP="006B2E7F">
            <w:r>
              <w:t xml:space="preserve">Alexander A. Romero II, </w:t>
            </w:r>
            <w:hyperlink r:id="rId14" w:history="1">
              <w:r w:rsidRPr="003F070E">
                <w:rPr>
                  <w:rStyle w:val="Hyperlink"/>
                </w:rPr>
                <w:t>alromero@nsf.gov</w:t>
              </w:r>
            </w:hyperlink>
            <w:r>
              <w:t xml:space="preserve">, 703-292-2184 </w:t>
            </w:r>
          </w:p>
          <w:p w14:paraId="1F0EF5B3" w14:textId="77777777" w:rsidR="00E74DEF" w:rsidRPr="0072112A" w:rsidRDefault="00E74DEF" w:rsidP="006B2E7F">
            <w:r>
              <w:t xml:space="preserve">Anthony D. </w:t>
            </w:r>
            <w:proofErr w:type="spellStart"/>
            <w:r>
              <w:t>Teolis</w:t>
            </w:r>
            <w:proofErr w:type="spellEnd"/>
            <w:r>
              <w:t xml:space="preserve">, </w:t>
            </w:r>
            <w:hyperlink r:id="rId15" w:history="1">
              <w:r w:rsidRPr="003F070E">
                <w:rPr>
                  <w:rStyle w:val="Hyperlink"/>
                </w:rPr>
                <w:t>ateolis@nsf.gov</w:t>
              </w:r>
            </w:hyperlink>
            <w:r>
              <w:t xml:space="preserve">, (703) 292-7343 </w:t>
            </w:r>
          </w:p>
        </w:tc>
      </w:tr>
    </w:tbl>
    <w:p w14:paraId="11049A42" w14:textId="77777777" w:rsidR="00E74DEF" w:rsidRDefault="00E74DEF" w:rsidP="00E74DEF">
      <w:pPr>
        <w:spacing w:after="0" w:line="240" w:lineRule="auto"/>
      </w:pPr>
    </w:p>
    <w:p w14:paraId="789EA27A" w14:textId="77777777" w:rsidR="00E74DEF" w:rsidRDefault="00E74DEF" w:rsidP="00E74DEF">
      <w:pPr>
        <w:spacing w:after="0" w:line="240" w:lineRule="auto"/>
      </w:pPr>
      <w:r w:rsidRPr="008E6690">
        <w:rPr>
          <w:b/>
          <w:bCs/>
        </w:rPr>
        <w:t>NSF Growing Convergence Research (GCR)</w:t>
      </w:r>
      <w:r>
        <w:t xml:space="preserve"> </w:t>
      </w:r>
      <w:r w:rsidRPr="00F97BE4">
        <w:t>due</w:t>
      </w:r>
      <w:r w:rsidRPr="008E6690">
        <w:rPr>
          <w:i/>
          <w:iCs/>
        </w:rPr>
        <w:t xml:space="preserve"> Feb. 1, 2021</w:t>
      </w:r>
    </w:p>
    <w:p w14:paraId="78CC0D9D" w14:textId="77777777" w:rsidR="00E74DEF" w:rsidRDefault="00E74DEF" w:rsidP="00E74DEF">
      <w:pPr>
        <w:spacing w:after="0" w:line="240" w:lineRule="auto"/>
      </w:pPr>
      <w:hyperlink r:id="rId16" w:history="1">
        <w:r w:rsidRPr="00BD7844">
          <w:rPr>
            <w:rStyle w:val="Hyperlink"/>
          </w:rPr>
          <w:t>https://www.nsf.gov/funding/pgm_summ.jsp?pims_id=505637</w:t>
        </w:r>
      </w:hyperlink>
    </w:p>
    <w:p w14:paraId="4733446F" w14:textId="77777777" w:rsidR="00E74DEF" w:rsidRPr="008E6690" w:rsidRDefault="00E74DEF" w:rsidP="00E74DEF">
      <w:pPr>
        <w:spacing w:after="0" w:line="240" w:lineRule="auto"/>
        <w:rPr>
          <w:i/>
          <w:iCs/>
        </w:rPr>
      </w:pPr>
      <w:r w:rsidRPr="008E6690">
        <w:rPr>
          <w:i/>
          <w:iCs/>
        </w:rPr>
        <w:t>GCR identifies Convergence Research as having two primary characteristics:</w:t>
      </w:r>
    </w:p>
    <w:p w14:paraId="14D52EAB" w14:textId="77777777" w:rsidR="00E74DEF" w:rsidRPr="008E6690" w:rsidRDefault="00E74DEF" w:rsidP="00E74DEF">
      <w:pPr>
        <w:pStyle w:val="ListParagraph"/>
        <w:numPr>
          <w:ilvl w:val="0"/>
          <w:numId w:val="2"/>
        </w:numPr>
        <w:spacing w:after="0" w:line="240" w:lineRule="auto"/>
        <w:ind w:left="360"/>
        <w:rPr>
          <w:i/>
          <w:iCs/>
        </w:rPr>
      </w:pPr>
      <w:r w:rsidRPr="008E6690">
        <w:rPr>
          <w:i/>
          <w:iCs/>
        </w:rPr>
        <w:t>Research driven by a specific and compelling problem. Convergence Research is generally inspired by the need to address a specific challenge or opportunity, whether it arises from deep scientific questions or pressing societal needs.</w:t>
      </w:r>
    </w:p>
    <w:p w14:paraId="516C0F84" w14:textId="77777777" w:rsidR="00E74DEF" w:rsidRPr="008E6690" w:rsidRDefault="00E74DEF" w:rsidP="00E74DEF">
      <w:pPr>
        <w:pStyle w:val="ListParagraph"/>
        <w:numPr>
          <w:ilvl w:val="0"/>
          <w:numId w:val="2"/>
        </w:numPr>
        <w:spacing w:after="0" w:line="240" w:lineRule="auto"/>
        <w:ind w:left="360"/>
        <w:rPr>
          <w:i/>
          <w:iCs/>
        </w:rPr>
      </w:pPr>
      <w:r w:rsidRPr="008E6690">
        <w:rPr>
          <w:i/>
          <w:iCs/>
        </w:rPr>
        <w:t>Deep integration across disciplines. As experts from different disciplines pursue common research challenges, their knowledge, theories, methods, data, research communities and languages become increasingly intermingled or integrated. New frameworks, paradigms or even disciplines can form sustained interactions across multiple communities.</w:t>
      </w:r>
    </w:p>
    <w:p w14:paraId="399C1A0A" w14:textId="77777777" w:rsidR="00E74DEF" w:rsidRPr="008E6690" w:rsidRDefault="00E74DEF" w:rsidP="00E74DEF">
      <w:pPr>
        <w:tabs>
          <w:tab w:val="left" w:pos="360"/>
        </w:tabs>
        <w:spacing w:after="0" w:line="240" w:lineRule="auto"/>
        <w:rPr>
          <w:i/>
          <w:iCs/>
        </w:rPr>
      </w:pPr>
      <w:r w:rsidRPr="008E6690">
        <w:rPr>
          <w:i/>
          <w:iCs/>
        </w:rPr>
        <w:tab/>
        <w:t>A distinct characteristic of convergence research, in contrast to other forms of multidisciplinary research, is that from the inception, the convergence paradigm intentionally brings together intellectually diverse researchers and stakeholders to frame the research questions, develop effective ways of communicating across disciplines and sectors, adopt common frameworks for their solution, and, when appropriate, develop a new scientific vocabulary. Research teams practicing convergence aim at developing sustainable relationships that may not only create solutions to the problem that engendered the collaboration, but also develop novel ways of framing related research questions and open new research vistas.</w:t>
      </w:r>
    </w:p>
    <w:p w14:paraId="349FB85E" w14:textId="77777777" w:rsidR="00E74DEF" w:rsidRPr="008E6690" w:rsidRDefault="00E74DEF" w:rsidP="00E74DEF">
      <w:pPr>
        <w:tabs>
          <w:tab w:val="left" w:pos="360"/>
        </w:tabs>
        <w:spacing w:after="0" w:line="240" w:lineRule="auto"/>
        <w:rPr>
          <w:i/>
          <w:iCs/>
        </w:rPr>
      </w:pPr>
      <w:r w:rsidRPr="008E6690">
        <w:rPr>
          <w:i/>
          <w:iCs/>
        </w:rPr>
        <w:tab/>
        <w:t>This GCR solicitation targets multi-disciplinary team research that crosses directorate or division boundaries and is currently not supported by NSF programs, initiatives and research-focused Big Ideas. Proposers must make a convincing case that the research to be conducted is within NSF’s purview and cannot be supported by existing NSF programs and multidisciplinary initiatives. Proposals involving convergence in areas covered by existing programs and solicitations will be returned without review.</w:t>
      </w:r>
    </w:p>
    <w:tbl>
      <w:tblPr>
        <w:tblStyle w:val="TableGrid"/>
        <w:tblW w:w="0" w:type="auto"/>
        <w:tblLook w:val="04A0" w:firstRow="1" w:lastRow="0" w:firstColumn="1" w:lastColumn="0" w:noHBand="0" w:noVBand="1"/>
      </w:tblPr>
      <w:tblGrid>
        <w:gridCol w:w="9350"/>
      </w:tblGrid>
      <w:tr w:rsidR="00E74DEF" w14:paraId="4BF9D968" w14:textId="77777777" w:rsidTr="006B2E7F">
        <w:tc>
          <w:tcPr>
            <w:tcW w:w="9350" w:type="dxa"/>
          </w:tcPr>
          <w:p w14:paraId="6E70B39B" w14:textId="77777777" w:rsidR="00E74DEF" w:rsidRPr="0072112A" w:rsidRDefault="00E74DEF" w:rsidP="006B2E7F">
            <w:pPr>
              <w:rPr>
                <w:b/>
                <w:bCs/>
              </w:rPr>
            </w:pPr>
            <w:r w:rsidRPr="0072112A">
              <w:rPr>
                <w:b/>
                <w:bCs/>
              </w:rPr>
              <w:t>NSF contact:</w:t>
            </w:r>
          </w:p>
          <w:p w14:paraId="74A729C1" w14:textId="77777777" w:rsidR="00E74DEF" w:rsidRPr="0072112A" w:rsidRDefault="00E74DEF" w:rsidP="006B2E7F">
            <w:proofErr w:type="spellStart"/>
            <w:proofErr w:type="gramStart"/>
            <w:r w:rsidRPr="008E6690">
              <w:t>Dragana</w:t>
            </w:r>
            <w:proofErr w:type="spellEnd"/>
            <w:r w:rsidRPr="008E6690">
              <w:t xml:space="preserve">  </w:t>
            </w:r>
            <w:proofErr w:type="spellStart"/>
            <w:r w:rsidRPr="008E6690">
              <w:t>Brzakovic</w:t>
            </w:r>
            <w:proofErr w:type="spellEnd"/>
            <w:proofErr w:type="gramEnd"/>
            <w:r>
              <w:t xml:space="preserve">, </w:t>
            </w:r>
            <w:hyperlink r:id="rId17" w:history="1">
              <w:r w:rsidRPr="00BD7844">
                <w:rPr>
                  <w:rStyle w:val="Hyperlink"/>
                </w:rPr>
                <w:t>dbrzakov@nsf.gov</w:t>
              </w:r>
            </w:hyperlink>
            <w:r>
              <w:t xml:space="preserve">, </w:t>
            </w:r>
            <w:r w:rsidRPr="008E6690">
              <w:t>(703) 292-5033</w:t>
            </w:r>
          </w:p>
        </w:tc>
      </w:tr>
    </w:tbl>
    <w:p w14:paraId="4B165434" w14:textId="77777777" w:rsidR="00E74DEF" w:rsidRDefault="00E74DEF" w:rsidP="00E74DEF">
      <w:pPr>
        <w:spacing w:after="0" w:line="240" w:lineRule="auto"/>
      </w:pPr>
    </w:p>
    <w:p w14:paraId="32A93E89" w14:textId="77777777" w:rsidR="00E74DEF" w:rsidRPr="00072563" w:rsidRDefault="00E74DEF" w:rsidP="00E74DEF">
      <w:pPr>
        <w:spacing w:after="0" w:line="240" w:lineRule="auto"/>
        <w:rPr>
          <w:i/>
          <w:iCs/>
        </w:rPr>
      </w:pPr>
      <w:r w:rsidRPr="00072563">
        <w:rPr>
          <w:b/>
          <w:bCs/>
        </w:rPr>
        <w:t>NSF Research on Emerging Technologies for Teaching and Learning (RETTL)</w:t>
      </w:r>
      <w:r>
        <w:t xml:space="preserve"> due </w:t>
      </w:r>
      <w:r>
        <w:rPr>
          <w:i/>
          <w:iCs/>
        </w:rPr>
        <w:t>Jan. 25, 2020</w:t>
      </w:r>
    </w:p>
    <w:p w14:paraId="21D0D9F9" w14:textId="77777777" w:rsidR="00E74DEF" w:rsidRDefault="00E74DEF" w:rsidP="00E74DEF">
      <w:pPr>
        <w:spacing w:after="0" w:line="240" w:lineRule="auto"/>
      </w:pPr>
      <w:hyperlink r:id="rId18" w:history="1">
        <w:r w:rsidRPr="000A1255">
          <w:rPr>
            <w:rStyle w:val="Hyperlink"/>
          </w:rPr>
          <w:t>https://www.nsf.gov/funding/pgm_summ.jsp?pims_id=504984</w:t>
        </w:r>
      </w:hyperlink>
      <w:r>
        <w:t xml:space="preserve"> </w:t>
      </w:r>
    </w:p>
    <w:p w14:paraId="7D0CDA28" w14:textId="790CCA31" w:rsidR="00E74DEF" w:rsidRPr="00E74DEF" w:rsidRDefault="00E74DEF" w:rsidP="00E74DEF">
      <w:pPr>
        <w:tabs>
          <w:tab w:val="left" w:pos="360"/>
        </w:tabs>
        <w:ind w:firstLine="720"/>
        <w:rPr>
          <w:i/>
          <w:iCs/>
        </w:rPr>
      </w:pPr>
      <w:r w:rsidRPr="000840CE">
        <w:rPr>
          <w:i/>
          <w:iCs/>
        </w:rPr>
        <w:t xml:space="preserve">The purpose of the Research on Emerging Technologies for Teaching and Learning (RETTL) program is to fund exploratory and synergistic research in emerging technologies (to include, but not limited to, artificial intelligence (AI), robotics, and immersive or augmenting technologies) for teaching and learning in the future. The program accepts proposals that focus on learning, teaching, or a combination of both. The scope of the program is broad, with special interest in diverse learner/educator populations, contexts, and content, including teaching and learning in science, technology, engineering, </w:t>
      </w:r>
      <w:r w:rsidRPr="000840CE">
        <w:rPr>
          <w:i/>
          <w:iCs/>
        </w:rPr>
        <w:lastRenderedPageBreak/>
        <w:t>and mathematics (STEM) and in foundational areas that enable STEM (e.g., self-regulation, literacy, communication, collaboration, creativity, and socio-emotional skills). Research in this program should be informed by the convergence (synthesis) of multiple disciplines: e.g., learning sciences; discipline-based education research; computer and information science and engineering; design; and cognitive, behavioral, and social sciences.  Within this broad scope, the program also encourages projects that investigate teaching and learning related to futuristic and highly technological work environments.</w:t>
      </w:r>
    </w:p>
    <w:sectPr w:rsidR="00E74DEF" w:rsidRPr="00E74D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1E50EF"/>
    <w:multiLevelType w:val="hybridMultilevel"/>
    <w:tmpl w:val="6BAAE5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39548E"/>
    <w:multiLevelType w:val="hybridMultilevel"/>
    <w:tmpl w:val="32C068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DEF"/>
    <w:rsid w:val="00E74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C5304"/>
  <w15:chartTrackingRefBased/>
  <w15:docId w15:val="{61FFB30A-F0F2-4F19-BC0C-0B217F55D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D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4DEF"/>
    <w:rPr>
      <w:color w:val="0563C1" w:themeColor="hyperlink"/>
      <w:u w:val="single"/>
    </w:rPr>
  </w:style>
  <w:style w:type="paragraph" w:styleId="ListParagraph">
    <w:name w:val="List Paragraph"/>
    <w:basedOn w:val="Normal"/>
    <w:uiPriority w:val="34"/>
    <w:qFormat/>
    <w:rsid w:val="00E74DEF"/>
    <w:pPr>
      <w:ind w:left="720"/>
      <w:contextualSpacing/>
    </w:pPr>
  </w:style>
  <w:style w:type="table" w:styleId="TableGrid">
    <w:name w:val="Table Grid"/>
    <w:basedOn w:val="TableNormal"/>
    <w:uiPriority w:val="39"/>
    <w:rsid w:val="00E74D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h.gov/grants/research/scholarly-editions-and-translations-grants" TargetMode="External"/><Relationship Id="rId13" Type="http://schemas.openxmlformats.org/officeDocument/2006/relationships/hyperlink" Target="mailto:jtrapani@nsf.gov" TargetMode="External"/><Relationship Id="rId18" Type="http://schemas.openxmlformats.org/officeDocument/2006/relationships/hyperlink" Target="https://www.nsf.gov/funding/pgm_summ.jsp?pims_id=504984" TargetMode="External"/><Relationship Id="rId3" Type="http://schemas.openxmlformats.org/officeDocument/2006/relationships/settings" Target="settings.xml"/><Relationship Id="rId7" Type="http://schemas.openxmlformats.org/officeDocument/2006/relationships/hyperlink" Target="http://www.teaglefoundation.org/Call-for-Proposals/Initiatives/Cornerstone" TargetMode="External"/><Relationship Id="rId12" Type="http://schemas.openxmlformats.org/officeDocument/2006/relationships/hyperlink" Target="https://www.nsf.gov/pubs/2020/nsf20128/nsf20128.jsp?WT.mc_id=USNSF_25&amp;WT.mc_ev=click" TargetMode="External"/><Relationship Id="rId17" Type="http://schemas.openxmlformats.org/officeDocument/2006/relationships/hyperlink" Target="mailto:dbrzakov@nsf.gov" TargetMode="External"/><Relationship Id="rId2" Type="http://schemas.openxmlformats.org/officeDocument/2006/relationships/styles" Target="styles.xml"/><Relationship Id="rId16" Type="http://schemas.openxmlformats.org/officeDocument/2006/relationships/hyperlink" Target="https://www.nsf.gov/funding/pgm_summ.jsp?pims_id=505637"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wjf.org/en/library/funding-opportunities/2020/policies-for-action--public-policy-research-to-advance-racial-equity-and-racial-justice.html?rid=0032S000029g9CQQAY&amp;et_cid=2245173" TargetMode="External"/><Relationship Id="rId11" Type="http://schemas.openxmlformats.org/officeDocument/2006/relationships/hyperlink" Target="https://www.neh.gov/grants/research/public-scholar-program" TargetMode="External"/><Relationship Id="rId5" Type="http://schemas.openxmlformats.org/officeDocument/2006/relationships/hyperlink" Target="https://www.grants.gov/web/grants/view-opportunity.html?oppId=328444" TargetMode="External"/><Relationship Id="rId15" Type="http://schemas.openxmlformats.org/officeDocument/2006/relationships/hyperlink" Target="mailto:ateolis@nsf.gov" TargetMode="External"/><Relationship Id="rId10" Type="http://schemas.openxmlformats.org/officeDocument/2006/relationships/hyperlink" Target="https://www.neh.gov/grants/public/public-humanities-project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eh.gov/program/media-projects" TargetMode="External"/><Relationship Id="rId14" Type="http://schemas.openxmlformats.org/officeDocument/2006/relationships/hyperlink" Target="mailto:alromero@nsf.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2452</Words>
  <Characters>13978</Characters>
  <Application>Microsoft Office Word</Application>
  <DocSecurity>0</DocSecurity>
  <Lines>116</Lines>
  <Paragraphs>32</Paragraphs>
  <ScaleCrop>false</ScaleCrop>
  <Company/>
  <LinksUpToDate>false</LinksUpToDate>
  <CharactersWithSpaces>16398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Iwan Notowidigdo</dc:creator>
  <cp:keywords/>
  <dc:description/>
  <cp:lastModifiedBy>Iwan Notowidigdo</cp:lastModifiedBy>
  <cp:revision>1</cp:revision>
  <dcterms:created xsi:type="dcterms:W3CDTF">2020-10-15T20:13:00Z</dcterms:created>
  <dcterms:modified xsi:type="dcterms:W3CDTF">2020-10-15T20:19:00Z</dcterms:modified>
</cp:coreProperties>
</file>