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5F596" w14:textId="132CED16" w:rsidR="00A70CE6" w:rsidRDefault="00A70CE6"/>
    <w:p w14:paraId="3D90291A" w14:textId="5E85A88E" w:rsidR="00173786" w:rsidRDefault="00173786"/>
    <w:p w14:paraId="48A02ED2" w14:textId="38DAC1C1" w:rsidR="00173786" w:rsidRDefault="00173786">
      <w:proofErr w:type="spellStart"/>
      <w:r>
        <w:t>Saygin</w:t>
      </w:r>
      <w:proofErr w:type="spellEnd"/>
      <w:r>
        <w:t xml:space="preserve"> List of Appropriate Uses of F&amp;A. (8/31/20)</w:t>
      </w:r>
    </w:p>
    <w:p w14:paraId="06E008EC" w14:textId="5BC30AE4" w:rsidR="00173786" w:rsidRDefault="00173786">
      <w:bookmarkStart w:id="0" w:name="_GoBack"/>
      <w:bookmarkEnd w:id="0"/>
    </w:p>
    <w:p w14:paraId="6485BFC4" w14:textId="7A1AB477" w:rsidR="00173786" w:rsidRDefault="00173786"/>
    <w:p w14:paraId="7A7C10B7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Acceptable uses of F&amp;A are:</w:t>
      </w:r>
    </w:p>
    <w:p w14:paraId="049A2516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Support for graduate and undergraduate research assistants or staff engaged in research activities. </w:t>
      </w:r>
    </w:p>
    <w:p w14:paraId="288D5FFC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Research related travel for faculty or student researchers to attend professional meetings or to funding agencies. </w:t>
      </w:r>
    </w:p>
    <w:p w14:paraId="52A819B7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Purchase of computers or other equipment and/or software to support research (Office supplies are not considered research expenses).  </w:t>
      </w:r>
    </w:p>
    <w:p w14:paraId="15EF7326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Repair of research equipment and computers.</w:t>
      </w:r>
    </w:p>
    <w:p w14:paraId="1E214156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Submission fees for peer-reviewed academic journals in your field.  </w:t>
      </w:r>
    </w:p>
    <w:p w14:paraId="7CD4537C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Purchase of publications or subscriptions to academic journals for which the UTSA library does not have a subscription. </w:t>
      </w:r>
    </w:p>
    <w:p w14:paraId="7893B4AE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Support for activities related to obtaining additional funding such as proposal development. </w:t>
      </w:r>
    </w:p>
    <w:p w14:paraId="55876222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Membership in Research Societies, the purchase of research-related publications (books, subscriptions to research journals) and publication costs. </w:t>
      </w:r>
    </w:p>
    <w:p w14:paraId="45CC93FC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Travel costs to support speakers on research topics. </w:t>
      </w:r>
    </w:p>
    <w:p w14:paraId="5455F806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Business meal expenses and meetings with research collaborators. </w:t>
      </w:r>
    </w:p>
    <w:p w14:paraId="0118D0FB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3015D5A5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F&amp;A Return cannot be used for: </w:t>
      </w:r>
    </w:p>
    <w:p w14:paraId="50B1F814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Entertainment expenses not related to a research objective, e.g., group outings and holiday parties </w:t>
      </w:r>
    </w:p>
    <w:p w14:paraId="5686F423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Purchase of alcohol must be approved by the Dean’s or Vice President’s Office. </w:t>
      </w:r>
    </w:p>
    <w:p w14:paraId="1250D535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Travel unrelated to research </w:t>
      </w:r>
    </w:p>
    <w:p w14:paraId="42101AB6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Donations to charity or organizations </w:t>
      </w:r>
    </w:p>
    <w:p w14:paraId="7EDD8464" w14:textId="77777777" w:rsidR="00173786" w:rsidRPr="00173786" w:rsidRDefault="00173786" w:rsidP="00173786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173786">
        <w:rPr>
          <w:rFonts w:ascii="Calibri" w:eastAsia="Times New Roman" w:hAnsi="Calibri" w:cs="Calibri"/>
          <w:color w:val="000000"/>
          <w:sz w:val="22"/>
          <w:szCs w:val="22"/>
        </w:rPr>
        <w:t>•            Teaching supplies or equipment unless it is part of a research project</w:t>
      </w:r>
    </w:p>
    <w:p w14:paraId="6D8A3981" w14:textId="77777777" w:rsidR="00173786" w:rsidRDefault="00173786"/>
    <w:sectPr w:rsidR="00173786" w:rsidSect="0096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86"/>
    <w:rsid w:val="00173786"/>
    <w:rsid w:val="003241EB"/>
    <w:rsid w:val="00966CEE"/>
    <w:rsid w:val="00A7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A796FB"/>
  <w15:chartTrackingRefBased/>
  <w15:docId w15:val="{89FF19C7-7AF5-8D45-9CDF-E66B1CD8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3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5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1</cp:revision>
  <dcterms:created xsi:type="dcterms:W3CDTF">2020-08-31T18:06:00Z</dcterms:created>
  <dcterms:modified xsi:type="dcterms:W3CDTF">2020-08-31T22:03:00Z</dcterms:modified>
</cp:coreProperties>
</file>